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6"/>
        <w:rPr>
          <w:rFonts w:ascii="宋体" w:hAnsi="宋体" w:eastAsia="宋体" w:cs="宋体"/>
          <w:color w:val="auto"/>
          <w:highlight w:val="none"/>
        </w:rPr>
      </w:pPr>
      <w:r>
        <w:rPr>
          <w:rFonts w:ascii="宋体" w:hAnsi="宋体" w:eastAsia="宋体" w:cs="宋体"/>
          <w:color w:val="auto"/>
          <w:highlight w:val="none"/>
        </w:rPr>
      </w:r>
      <w:r/>
    </w:p>
    <w:p>
      <w:pPr>
        <w:jc w:val="right"/>
        <w:rPr>
          <w:rFonts w:ascii="宋体" w:hAnsi="宋体" w:cs="宋体"/>
          <w:b/>
          <w:bCs/>
          <w:color w:val="auto"/>
          <w:sz w:val="36"/>
          <w:highlight w:val="none"/>
        </w:rPr>
      </w:pPr>
      <w:r>
        <w:rPr>
          <w:rFonts w:ascii="宋体" w:hAnsi="宋体" w:cs="宋体"/>
          <w:b/>
          <w:bCs/>
          <w:color w:val="auto"/>
          <w:sz w:val="36"/>
          <w:highlight w:val="none"/>
        </w:rPr>
      </w:r>
      <w:r/>
    </w:p>
    <w:p>
      <w:pPr>
        <w:ind w:firstLine="1446"/>
        <w:jc w:val="right"/>
        <w:spacing w:line="360" w:lineRule="auto"/>
        <w:rPr>
          <w:rFonts w:ascii="宋体" w:hAnsi="宋体" w:cs="宋体"/>
          <w:b/>
          <w:bCs/>
          <w:color w:val="auto"/>
          <w:sz w:val="36"/>
          <w:highlight w:val="none"/>
        </w:rPr>
      </w:pPr>
      <w:r>
        <w:rPr>
          <w:rFonts w:hint="eastAsia" w:ascii="宋体" w:hAnsi="宋体" w:cs="宋体"/>
          <w:b/>
          <w:bCs/>
          <w:color w:val="auto"/>
          <w:sz w:val="36"/>
          <w:highlight w:val="none"/>
          <w:lang w:val="en-US" w:eastAsia="zh-CN"/>
        </w:rPr>
        <w:t xml:space="preserve"> </w:t>
      </w: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val="en-US" w:eastAsia="zh-CN"/>
        </w:rPr>
        <w:t xml:space="preserve">JSZC-321003-JSZC-C2025-0106</w:t>
      </w:r>
      <w:r>
        <w:rPr>
          <w:rFonts w:hint="eastAsia" w:ascii="宋体" w:hAnsi="宋体" w:cs="宋体"/>
          <w:b/>
          <w:bCs/>
          <w:color w:val="auto"/>
          <w:sz w:val="36"/>
          <w:highlight w:val="none"/>
        </w:rPr>
        <w:t xml:space="preserve">号</w:t>
      </w:r>
      <w:r/>
    </w:p>
    <w:p>
      <w:pPr>
        <w:jc w:val="center"/>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eastAsia="zh-CN"/>
        </w:rPr>
        <w:t xml:space="preserve">双桥街道居家养老政府采购购买服务项目</w:t>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竞争性磋商文件</w:t>
      </w:r>
      <w:r/>
    </w:p>
    <w:p>
      <w:pPr>
        <w:pStyle w:val="938"/>
        <w:rPr>
          <w:rFonts w:hAnsi="宋体" w:cs="宋体"/>
          <w:color w:val="auto"/>
          <w:highlight w:val="none"/>
        </w:rPr>
      </w:pPr>
      <w:r>
        <w:rPr>
          <w:rFonts w:hAnsi="宋体" w:cs="宋体"/>
          <w:color w:val="auto"/>
          <w:highlight w:val="none"/>
        </w:rPr>
      </w:r>
      <w:r/>
    </w:p>
    <w:p>
      <w:pPr>
        <w:jc w:val="center"/>
        <w:rPr>
          <w:rFonts w:ascii="宋体" w:hAnsi="宋体" w:cs="宋体"/>
          <w:color w:val="auto"/>
          <w:sz w:val="36"/>
          <w:highlight w:val="none"/>
        </w:rPr>
      </w:pPr>
      <w:r>
        <w:rPr>
          <w:rFonts w:ascii="宋体" w:hAnsi="宋体" w:cs="宋体"/>
          <w:color w:val="auto"/>
          <w:sz w:val="36"/>
          <w:highlight w:val="none"/>
        </w:rPr>
      </w:r>
      <w:r/>
    </w:p>
    <w:p>
      <w:pPr>
        <w:jc w:val="center"/>
        <w:rPr>
          <w:rFonts w:ascii="宋体" w:hAnsi="宋体" w:cs="宋体"/>
          <w:color w:val="auto"/>
          <w:sz w:val="36"/>
          <w:highlight w:val="none"/>
        </w:rPr>
      </w:pPr>
      <w:r>
        <w:rPr>
          <w:color w:val="000000"/>
          <w:sz w:val="36"/>
          <w:highlight w:val="none"/>
        </w:rPr>
        <mc:AlternateContent>
          <mc:Choice Requires="wpg">
            <w:drawing>
              <wp:inline xmlns:wp="http://schemas.openxmlformats.org/drawingml/2006/wordprocessingDrawing" distT="0" distB="0" distL="0" distR="0">
                <wp:extent cx="5568950" cy="3815715"/>
                <wp:effectExtent l="0" t="0" r="6350" b="6985"/>
                <wp:docPr id="1"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5569128" cy="38160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8.5pt;height:300.4pt;mso-wrap-distance-left:0.0pt;mso-wrap-distance-top:0.0pt;mso-wrap-distance-right:0.0pt;mso-wrap-distance-bottom:0.0pt;" stroked="f">
                <v:path textboxrect="0,0,0,0"/>
                <v:imagedata r:id="rId12" o:title=""/>
              </v:shape>
            </w:pict>
          </mc:Fallback>
        </mc:AlternateContent>
      </w:r>
      <w:r/>
    </w:p>
    <w:p>
      <w:pPr>
        <w:jc w:val="center"/>
        <w:rPr>
          <w:rFonts w:ascii="宋体" w:hAnsi="宋体" w:cs="宋体"/>
          <w:color w:val="auto"/>
          <w:sz w:val="36"/>
          <w:highlight w:val="none"/>
        </w:rPr>
      </w:pPr>
      <w:r>
        <w:rPr>
          <w:rFonts w:ascii="宋体" w:hAnsi="宋体" w:cs="宋体"/>
          <w:color w:val="auto"/>
          <w:sz w:val="36"/>
          <w:highlight w:val="none"/>
        </w:rPr>
      </w:r>
      <w:r/>
    </w:p>
    <w:p>
      <w:pPr>
        <w:rPr>
          <w:rFonts w:ascii="宋体" w:hAnsi="宋体" w:cs="宋体"/>
          <w:color w:val="auto"/>
          <w:sz w:val="36"/>
          <w:highlight w:val="none"/>
        </w:rPr>
      </w:pPr>
      <w:r>
        <w:rPr>
          <w:rFonts w:ascii="宋体" w:hAnsi="宋体" w:cs="宋体"/>
          <w:color w:val="auto"/>
          <w:sz w:val="36"/>
          <w:highlight w:val="none"/>
        </w:rPr>
      </w:r>
      <w:r/>
    </w:p>
    <w:p>
      <w:pPr>
        <w:rPr>
          <w:rFonts w:ascii="宋体" w:hAnsi="宋体" w:cs="宋体"/>
          <w:color w:val="auto"/>
          <w:sz w:val="36"/>
          <w:highlight w:val="none"/>
        </w:rPr>
      </w:pPr>
      <w:r>
        <w:rPr>
          <w:rFonts w:ascii="宋体" w:hAnsi="宋体" w:cs="宋体"/>
          <w:color w:val="auto"/>
          <w:sz w:val="36"/>
          <w:highlight w:val="none"/>
        </w:rPr>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江苏汇诚投资咨询管理有限公司</w:t>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202</w:t>
      </w:r>
      <w:r>
        <w:rPr>
          <w:rFonts w:hint="eastAsia" w:ascii="宋体" w:hAnsi="宋体" w:cs="宋体"/>
          <w:b/>
          <w:bCs/>
          <w:color w:val="auto"/>
          <w:sz w:val="36"/>
          <w:highlight w:val="none"/>
          <w:lang w:val="en-US" w:eastAsia="zh-CN"/>
        </w:rPr>
        <w:t xml:space="preserve">5</w:t>
      </w:r>
      <w:r>
        <w:rPr>
          <w:rFonts w:hint="eastAsia" w:ascii="宋体" w:hAnsi="宋体" w:cs="宋体"/>
          <w:b/>
          <w:bCs/>
          <w:color w:val="auto"/>
          <w:sz w:val="36"/>
          <w:highlight w:val="none"/>
        </w:rPr>
        <w:t xml:space="preserve">年</w:t>
      </w:r>
      <w:r>
        <w:rPr>
          <w:rFonts w:hint="eastAsia" w:ascii="宋体" w:hAnsi="宋体" w:cs="宋体"/>
          <w:b/>
          <w:bCs/>
          <w:color w:val="auto"/>
          <w:sz w:val="36"/>
          <w:highlight w:val="none"/>
          <w:lang w:val="en-US" w:eastAsia="zh-CN"/>
        </w:rPr>
        <w:t xml:space="preserve">12</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4</w:t>
      </w:r>
      <w:r>
        <w:rPr>
          <w:rFonts w:hint="eastAsia" w:ascii="宋体" w:hAnsi="宋体" w:cs="宋体"/>
          <w:b/>
          <w:bCs/>
          <w:color w:val="auto"/>
          <w:sz w:val="36"/>
          <w:highlight w:val="none"/>
        </w:rPr>
        <w:t xml:space="preserve">日</w:t>
      </w:r>
      <w:r>
        <w:rPr>
          <w:rFonts w:hint="eastAsia" w:ascii="宋体" w:hAnsi="宋体" w:cs="宋体"/>
          <w:color w:val="auto"/>
          <w:highlight w:val="none"/>
        </w:rPr>
        <w:br w:type="page" w:clear="all"/>
      </w:r>
      <w:r/>
    </w:p>
    <w:p>
      <w:pPr>
        <w:jc w:val="center"/>
        <w:spacing w:line="360" w:lineRule="auto"/>
        <w:rPr>
          <w:rFonts w:ascii="宋体" w:hAnsi="宋体" w:cs="宋体"/>
          <w:color w:val="auto"/>
          <w:sz w:val="32"/>
          <w:highlight w:val="none"/>
        </w:rPr>
      </w:pPr>
      <w:r>
        <w:rPr>
          <w:rFonts w:hint="eastAsia" w:ascii="宋体" w:hAnsi="宋体" w:cs="宋体"/>
          <w:color w:val="auto"/>
          <w:sz w:val="32"/>
          <w:highlight w:val="none"/>
        </w:rPr>
        <w:t xml:space="preserve">目 录</w:t>
      </w:r>
      <w:r/>
    </w:p>
    <w:p>
      <w:pPr>
        <w:pStyle w:val="925"/>
        <w:spacing w:line="360" w:lineRule="auto"/>
        <w:tabs>
          <w:tab w:val="right" w:pos="8296" w:leader="dot"/>
        </w:tabs>
        <w:rPr>
          <w:rFonts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竞争性磋商采购公告</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_Toc109304962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3</w:t>
      </w:r>
      <w:r>
        <w:rPr>
          <w:rFonts w:hint="eastAsia" w:ascii="宋体" w:hAnsi="宋体" w:cs="宋体"/>
          <w:color w:val="auto"/>
          <w:highlight w:val="none"/>
        </w:rPr>
        <w:fldChar w:fldCharType="end"/>
      </w:r>
      <w:r/>
    </w:p>
    <w:p>
      <w:pPr>
        <w:pStyle w:val="925"/>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第二章 磋商须知</w:t>
      </w:r>
      <w:r>
        <w:rPr>
          <w:rFonts w:hint="eastAsia" w:ascii="宋体" w:hAnsi="宋体" w:cs="宋体"/>
          <w:color w:val="auto"/>
          <w:highlight w:val="none"/>
        </w:rPr>
        <w:tab/>
      </w:r>
      <w:r>
        <w:rPr>
          <w:rFonts w:hint="eastAsia" w:ascii="宋体" w:hAnsi="宋体" w:cs="宋体"/>
          <w:color w:val="auto"/>
          <w:highlight w:val="none"/>
        </w:rPr>
        <w:t xml:space="preserve">7</w:t>
      </w:r>
      <w:r/>
    </w:p>
    <w:p>
      <w:pPr>
        <w:pStyle w:val="925"/>
        <w:spacing w:line="360" w:lineRule="auto"/>
        <w:tabs>
          <w:tab w:val="right" w:pos="8296" w:leader="dot"/>
        </w:tabs>
        <w:rPr>
          <w:rFonts w:hint="eastAsia" w:ascii="宋体" w:hAnsi="宋体" w:eastAsia="宋体" w:cs="宋体"/>
          <w:color w:val="auto"/>
          <w:highlight w:val="none"/>
          <w:lang w:eastAsia="zh-CN"/>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7</w:t>
      </w:r>
      <w:r/>
    </w:p>
    <w:p>
      <w:pPr>
        <w:pStyle w:val="925"/>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lang w:val="en-US" w:eastAsia="zh-CN"/>
        </w:rPr>
        <w:t xml:space="preserve">22</w:t>
      </w:r>
      <w:r/>
    </w:p>
    <w:p>
      <w:pPr>
        <w:pStyle w:val="925"/>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第五章 评审方法及评审标准</w:t>
      </w:r>
      <w:r>
        <w:rPr>
          <w:rFonts w:hint="eastAsia" w:ascii="宋体" w:hAnsi="宋体" w:cs="宋体"/>
          <w:color w:val="auto"/>
          <w:highlight w:val="none"/>
        </w:rPr>
        <w:tab/>
      </w:r>
      <w:r>
        <w:rPr>
          <w:rFonts w:hint="eastAsia" w:ascii="宋体" w:hAnsi="宋体" w:cs="宋体"/>
          <w:color w:val="auto"/>
          <w:highlight w:val="none"/>
          <w:lang w:val="en-US" w:eastAsia="zh-CN"/>
        </w:rPr>
        <w:t xml:space="preserve">28</w:t>
      </w:r>
      <w:r/>
    </w:p>
    <w:p>
      <w:pPr>
        <w:pStyle w:val="925"/>
        <w:spacing w:line="360" w:lineRule="auto"/>
        <w:tabs>
          <w:tab w:val="right" w:pos="8296" w:leader="dot"/>
        </w:tabs>
        <w:rPr>
          <w:rFonts w:hint="eastAsia" w:ascii="宋体" w:hAnsi="宋体" w:eastAsia="宋体" w:cs="宋体"/>
          <w:color w:val="auto"/>
          <w:highlight w:val="none"/>
          <w:lang w:eastAsia="zh-CN"/>
        </w:rPr>
      </w:pPr>
      <w:r>
        <w:rPr>
          <w:rFonts w:hint="eastAsia" w:ascii="宋体" w:hAnsi="宋体" w:cs="宋体"/>
          <w:color w:val="auto"/>
          <w:highlight w:val="none"/>
        </w:rPr>
        <w:t xml:space="preserve">第六章 竞争性磋商响应文件格式</w:t>
      </w:r>
      <w:r>
        <w:rPr>
          <w:rFonts w:hint="eastAsia" w:ascii="宋体" w:hAnsi="宋体" w:cs="宋体"/>
          <w:color w:val="auto"/>
          <w:highlight w:val="none"/>
        </w:rPr>
        <w:tab/>
      </w:r>
      <w:r>
        <w:rPr>
          <w:rFonts w:hint="eastAsia" w:ascii="宋体" w:hAnsi="宋体" w:cs="宋体"/>
          <w:color w:val="auto"/>
          <w:highlight w:val="none"/>
        </w:rPr>
        <w:t xml:space="preserve">3</w:t>
      </w:r>
      <w:r>
        <w:rPr>
          <w:rFonts w:hint="eastAsia" w:ascii="宋体" w:hAnsi="宋体" w:cs="宋体"/>
          <w:color w:val="auto"/>
          <w:highlight w:val="none"/>
          <w:lang w:val="en-US" w:eastAsia="zh-CN"/>
        </w:rPr>
        <w:t xml:space="preserve">2</w:t>
      </w:r>
      <w:r/>
    </w:p>
    <w:p>
      <w:pPr>
        <w:spacing w:line="360" w:lineRule="auto"/>
        <w:rPr>
          <w:rFonts w:ascii="宋体" w:hAnsi="宋体" w:cs="宋体"/>
          <w:color w:val="auto"/>
          <w:sz w:val="28"/>
          <w:highlight w:val="none"/>
        </w:rPr>
      </w:pPr>
      <w:r>
        <w:rPr>
          <w:rFonts w:hint="eastAsia" w:ascii="宋体" w:hAnsi="宋体" w:cs="宋体"/>
          <w:color w:val="auto"/>
          <w:sz w:val="28"/>
          <w:highlight w:val="none"/>
        </w:rPr>
        <w:fldChar w:fldCharType="end"/>
      </w:r>
      <w:r/>
    </w:p>
    <w:p>
      <w:pPr>
        <w:spacing w:line="360" w:lineRule="auto"/>
        <w:rPr>
          <w:rFonts w:ascii="宋体" w:hAnsi="宋体" w:cs="宋体"/>
          <w:color w:val="auto"/>
          <w:highlight w:val="none"/>
        </w:rPr>
      </w:pPr>
      <w:r>
        <w:rPr>
          <w:rFonts w:ascii="宋体" w:hAnsi="宋体" w:cs="宋体"/>
          <w:color w:val="auto"/>
          <w:highlight w:val="none"/>
        </w:rPr>
      </w:r>
      <w:r/>
    </w:p>
    <w:p>
      <w:pPr>
        <w:pStyle w:val="907"/>
        <w:jc w:val="cente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br w:type="page" w:clear="all"/>
      </w:r>
      <w:bookmarkStart w:id="0" w:name="_Toc109304962"/>
      <w:r>
        <w:rPr>
          <w:rFonts w:hint="eastAsia" w:ascii="宋体" w:hAnsi="宋体" w:cs="宋体"/>
          <w:color w:val="auto"/>
          <w:szCs w:val="36"/>
          <w:highlight w:val="none"/>
        </w:rPr>
        <w:t xml:space="preserve">第一章 竞争性磋商采购公告</w:t>
      </w:r>
      <w:bookmarkEnd w:id="0"/>
      <w:r/>
      <w:r/>
    </w:p>
    <w:p>
      <w:pPr>
        <w:keepLines w:val="0"/>
        <w:keepNext w:val="0"/>
        <w:pageBreakBefore w:val="0"/>
        <w:spacing w:line="360" w:lineRule="auto"/>
        <w:widowControl w:val="off"/>
        <w:rPr>
          <w:rFonts w:ascii="宋体" w:hAnsi="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b/>
          <w:color w:val="auto"/>
          <w:highlight w:val="none"/>
        </w:rPr>
        <w:t xml:space="preserve">项目概况：</w:t>
      </w:r>
      <w:r/>
    </w:p>
    <w:p>
      <w:pPr>
        <w:ind w:firstLine="420"/>
        <w:keepLines w:val="0"/>
        <w:keepNext w:val="0"/>
        <w:pageBreakBefore w:val="0"/>
        <w:spacing w:line="360" w:lineRule="auto"/>
        <w:widowControl w:val="off"/>
        <w:rPr>
          <w:rFonts w:ascii="宋体" w:hAnsi="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highlight w:val="none"/>
          <w:u w:val="single"/>
          <w:lang w:eastAsia="zh-CN"/>
        </w:rPr>
        <w:t xml:space="preserve">双桥街道居家养老政府采购购买服务</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lang w:eastAsia="zh-CN"/>
        </w:rPr>
        <w:t xml:space="preserve">项目</w:t>
      </w:r>
      <w:r>
        <w:rPr>
          <w:rFonts w:hint="eastAsia" w:ascii="宋体" w:hAnsi="宋体" w:cs="宋体"/>
          <w:color w:val="auto"/>
          <w:highlight w:val="none"/>
          <w:lang w:val="en-US" w:eastAsia="zh-CN"/>
        </w:rPr>
        <w:t xml:space="preserve">JSZC-321003-JSZC-C2025-0106</w:t>
      </w:r>
      <w:r>
        <w:rPr>
          <w:rFonts w:hint="eastAsia" w:ascii="宋体" w:hAnsi="宋体" w:cs="宋体"/>
          <w:color w:val="auto"/>
          <w:highlight w:val="none"/>
        </w:rPr>
        <w:t xml:space="preserve">号采购项目的潜在供应商应在</w:t>
      </w:r>
      <w:r>
        <w:rPr>
          <w:rFonts w:hint="eastAsia" w:ascii="宋体" w:hAnsi="宋体" w:cs="宋体"/>
          <w:color w:val="auto"/>
          <w:highlight w:val="none"/>
          <w:lang w:eastAsia="zh-CN"/>
        </w:rPr>
        <w:t xml:space="preserve">“扬州市邗江区政府采购网”“扬州市政府采购网”“江苏政府采购网”</w:t>
      </w:r>
      <w:r>
        <w:rPr>
          <w:rFonts w:hint="eastAsia" w:ascii="宋体" w:hAnsi="宋体" w:cs="宋体"/>
          <w:color w:val="auto"/>
          <w:highlight w:val="none"/>
        </w:rPr>
        <w:t xml:space="preserve">获取采购文件，并于202</w:t>
      </w:r>
      <w:r>
        <w:rPr>
          <w:rFonts w:hint="eastAsia" w:ascii="宋体" w:hAnsi="宋体" w:cs="宋体"/>
          <w:color w:val="auto"/>
          <w:highlight w:val="none"/>
          <w:lang w:val="en-US" w:eastAsia="zh-CN"/>
        </w:rPr>
        <w:t xml:space="preserve">5年12月15日9</w:t>
      </w:r>
      <w:r>
        <w:rPr>
          <w:rFonts w:hint="eastAsia" w:ascii="宋体" w:hAnsi="宋体" w:cs="宋体"/>
          <w:color w:val="auto"/>
          <w:highlight w:val="none"/>
        </w:rPr>
        <w:t xml:space="preserve">:30 （北京时间）</w:t>
      </w:r>
      <w:r>
        <w:rPr>
          <w:rFonts w:hint="eastAsia" w:ascii="宋体" w:hAnsi="宋体" w:cs="宋体"/>
          <w:color w:val="auto"/>
          <w:highlight w:val="none"/>
        </w:rPr>
        <w:t xml:space="preserve">前提交响应文件。</w:t>
      </w:r>
      <w:r/>
    </w:p>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一、项目基本情况</w:t>
      </w:r>
      <w:r/>
    </w:p>
    <w:p>
      <w:pPr>
        <w:ind w:firstLine="420"/>
        <w:spacing w:line="360" w:lineRule="auto"/>
        <w:rPr>
          <w:rFonts w:ascii="宋体" w:hAnsi="宋体" w:cs="宋体"/>
          <w:color w:val="auto"/>
          <w:szCs w:val="21"/>
          <w:highlight w:val="none"/>
        </w:rPr>
      </w:pPr>
      <w:r/>
      <w:bookmarkStart w:id="1" w:name="_Toc109304964"/>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val="en-US" w:eastAsia="zh-CN"/>
        </w:rPr>
        <w:t xml:space="preserve">JSZC-321003-JSZC-C2025-0106</w:t>
      </w:r>
      <w:r>
        <w:rPr>
          <w:rFonts w:hint="eastAsia" w:ascii="宋体" w:hAnsi="宋体" w:cs="宋体"/>
          <w:color w:val="auto"/>
          <w:szCs w:val="21"/>
          <w:highlight w:val="none"/>
        </w:rPr>
        <w:t xml:space="preserve">号</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双桥街道居家养老政府采购购买服务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val="en-US" w:eastAsia="zh-CN"/>
        </w:rPr>
        <w:t xml:space="preserve">100</w:t>
      </w:r>
      <w:r>
        <w:rPr>
          <w:rFonts w:hint="eastAsia" w:ascii="宋体" w:hAnsi="宋体" w:cs="宋体"/>
          <w:color w:val="auto"/>
          <w:szCs w:val="21"/>
          <w:highlight w:val="none"/>
        </w:rPr>
        <w:t xml:space="preserve">万元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5.最高限价：</w:t>
      </w:r>
      <w:r>
        <w:rPr>
          <w:rFonts w:hint="eastAsia" w:ascii="宋体" w:hAnsi="宋体" w:cs="宋体"/>
          <w:color w:val="auto"/>
          <w:szCs w:val="21"/>
          <w:highlight w:val="none"/>
          <w:lang w:val="en-US" w:eastAsia="zh-CN"/>
        </w:rPr>
        <w:t xml:space="preserve">人民币30元/小时（以上报价含服务费、管理费、服务人员交通费及通讯费等所有费用），报价超过最高限价的为无效报价，按照无效响应处理。</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6.采购需求：详见磋商文件</w:t>
      </w:r>
      <w:r>
        <w:rPr>
          <w:rFonts w:hint="eastAsia" w:ascii="宋体" w:hAnsi="宋体" w:cs="宋体"/>
          <w:color w:val="auto"/>
          <w:szCs w:val="21"/>
          <w:highlight w:val="none"/>
          <w:lang w:val="en-US" w:eastAsia="zh-CN"/>
        </w:rPr>
        <w:t xml:space="preserve">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7.合同履行期限：</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rPr>
        <w:t xml:space="preserve">年（自签订合同之日起计）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进口产品响应。</w:t>
      </w:r>
      <w:r/>
    </w:p>
    <w:p>
      <w:pPr>
        <w:pStyle w:val="908"/>
        <w:spacing w:before="0" w:after="0" w:line="360" w:lineRule="auto"/>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二、申请人的资格要求：</w:t>
      </w:r>
      <w:bookmarkEnd w:id="1"/>
      <w:r/>
      <w:r/>
    </w:p>
    <w:p>
      <w:pPr>
        <w:ind w:firstLine="420"/>
        <w:spacing w:line="360" w:lineRule="auto"/>
        <w:rPr>
          <w:rFonts w:ascii="宋体" w:hAnsi="宋体" w:cs="宋体"/>
          <w:color w:val="auto"/>
          <w:szCs w:val="21"/>
          <w:highlight w:val="none"/>
        </w:rPr>
      </w:pPr>
      <w:r/>
      <w:bookmarkStart w:id="2" w:name="_Toc109304965"/>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w:t>
      </w:r>
      <w:r>
        <w:rPr>
          <w:rFonts w:hint="eastAsia" w:ascii="宋体" w:hAnsi="宋体" w:cs="宋体"/>
          <w:i/>
          <w:iCs/>
          <w:color w:val="auto"/>
          <w:szCs w:val="21"/>
          <w:highlight w:val="none"/>
          <w:u w:val="single"/>
          <w:lang w:eastAsia="zh-CN"/>
        </w:rPr>
        <w:t xml:space="preserve">上一年度的财务状况报告（供应商成立不满一年无需提供）</w:t>
      </w:r>
      <w:r>
        <w:rPr>
          <w:rFonts w:hint="eastAsia" w:ascii="宋体" w:hAnsi="宋体" w:cs="宋体"/>
          <w:i/>
          <w:iCs/>
          <w:color w:val="auto"/>
          <w:szCs w:val="21"/>
          <w:highlight w:val="none"/>
          <w:u w:val="single"/>
        </w:rPr>
        <w:t xml:space="preserve">；</w:t>
      </w:r>
      <w:r/>
    </w:p>
    <w:p>
      <w:pPr>
        <w:ind w:firstLine="420"/>
        <w:spacing w:line="360" w:lineRule="auto"/>
        <w:rPr>
          <w:rFonts w:ascii="宋体" w:hAnsi="宋体" w:cs="宋体"/>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供应商信用承诺函；</w:t>
      </w:r>
      <w:r/>
    </w:p>
    <w:p>
      <w:pPr>
        <w:ind w:firstLine="420"/>
        <w:spacing w:line="360" w:lineRule="auto"/>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本项目专门面向中小企业采购。供应商参加磋商时须提供《中小企业声明函》，《中小企业声明函》不符合要求或未提供的，响应文件无效。</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3.本项目的特定资格要求：</w:t>
      </w:r>
      <w:r>
        <w:rPr>
          <w:rFonts w:hint="eastAsia" w:ascii="宋体" w:hAnsi="宋体" w:cs="宋体"/>
          <w:i/>
          <w:iCs/>
          <w:color w:val="auto"/>
          <w:szCs w:val="21"/>
          <w:highlight w:val="none"/>
          <w:u w:val="single"/>
          <w:lang w:val="en-US" w:eastAsia="zh-CN"/>
        </w:rPr>
        <w:t xml:space="preserve">无。</w:t>
      </w:r>
      <w:r/>
    </w:p>
    <w:p>
      <w:pPr>
        <w:pStyle w:val="908"/>
        <w:spacing w:before="0" w:after="0" w:line="360" w:lineRule="auto"/>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三、获取采购文件</w:t>
      </w:r>
      <w:bookmarkEnd w:id="2"/>
      <w:r/>
      <w:r/>
    </w:p>
    <w:p>
      <w:pPr>
        <w:ind w:firstLine="420"/>
        <w:spacing w:line="360" w:lineRule="auto"/>
        <w:rPr>
          <w:rFonts w:ascii="宋体" w:hAnsi="宋体" w:cs="宋体"/>
          <w:color w:val="auto"/>
          <w:highlight w:val="none"/>
        </w:rPr>
      </w:pPr>
      <w:r/>
      <w:bookmarkStart w:id="3" w:name="_Toc109304966"/>
      <w:r>
        <w:rPr>
          <w:rFonts w:hint="eastAsia" w:ascii="宋体" w:hAnsi="宋体" w:cs="宋体"/>
          <w:color w:val="auto"/>
          <w:szCs w:val="21"/>
          <w:highlight w:val="none"/>
        </w:rPr>
        <w:t xml:space="preserve">时间：</w:t>
      </w:r>
      <w:r>
        <w:rPr>
          <w:rFonts w:hint="eastAsia" w:ascii="宋体" w:hAnsi="宋体" w:cs="宋体"/>
          <w:color w:val="auto"/>
          <w:highlight w:val="none"/>
        </w:rPr>
        <w:t xml:space="preserve">自磋商公告发布之日起5个工作日。5个工作日后仍可下载采购文件，但不作为供应商权益受到损害的证明材料和依据。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地点：</w:t>
      </w:r>
      <w:r>
        <w:rPr>
          <w:rFonts w:hint="eastAsia" w:ascii="宋体" w:hAnsi="宋体" w:cs="宋体"/>
          <w:color w:val="auto"/>
          <w:highlight w:val="none"/>
          <w:lang w:eastAsia="zh-CN"/>
        </w:rPr>
        <w:t xml:space="preserve">“扬州市邗江区政府采购网”、“扬州市政府采购网”、“江苏政府采购网”</w:t>
      </w:r>
      <w:r>
        <w:rPr>
          <w:rFonts w:hint="eastAsia" w:ascii="宋体" w:hAnsi="宋体" w:cs="宋体"/>
          <w:color w:val="auto"/>
          <w:highlight w:val="none"/>
        </w:rPr>
        <w:t xml:space="preserve">自行免费下载</w:t>
      </w:r>
      <w:r/>
    </w:p>
    <w:p>
      <w:pPr>
        <w:ind w:firstLine="540"/>
        <w:spacing w:line="360" w:lineRule="auto"/>
        <w:rPr>
          <w:rFonts w:ascii="宋体" w:hAnsi="宋体" w:cs="宋体"/>
          <w:b/>
          <w:bCs/>
          <w:color w:val="auto"/>
          <w:sz w:val="24"/>
          <w:szCs w:val="24"/>
          <w:highlight w:val="none"/>
        </w:rPr>
      </w:pPr>
      <w:r>
        <w:rPr>
          <w:rFonts w:hint="eastAsia" w:ascii="宋体" w:hAnsi="宋体" w:cs="宋体"/>
          <w:b/>
          <w:bCs/>
          <w:color w:val="auto"/>
          <w:highlight w:val="none"/>
        </w:rPr>
        <w:t xml:space="preserve">方式：</w:t>
      </w:r>
      <w:bookmarkStart w:id="4" w:name="_Hlk162861739"/>
      <w:r>
        <w:rPr>
          <w:rFonts w:hint="eastAsia" w:ascii="宋体" w:hAnsi="宋体" w:cs="宋体"/>
          <w:b/>
          <w:bCs/>
          <w:color w:val="auto"/>
          <w:szCs w:val="21"/>
          <w:highlight w:val="none"/>
        </w:rPr>
        <w:t xml:space="preserve">本项目采用网上注册登记方式。</w:t>
      </w:r>
      <w:bookmarkEnd w:id="4"/>
      <w:r>
        <w:rPr>
          <w:rFonts w:hint="eastAsia" w:ascii="宋体" w:hAnsi="宋体" w:cs="宋体"/>
          <w:b/>
          <w:color w:val="auto"/>
          <w:szCs w:val="21"/>
          <w:highlight w:val="none"/>
          <w:shd w:val="clear" w:color="auto" w:fill="ffffff"/>
        </w:rPr>
        <w:t xml:space="preserve">潜在供应商访问政府采购管理交易系统（苏采云）的网络地址和方法：</w:t>
      </w:r>
      <w:r/>
    </w:p>
    <w:p>
      <w:pPr>
        <w:ind w:firstLine="540"/>
        <w:spacing w:line="360" w:lineRule="auto"/>
        <w:rPr>
          <w:rFonts w:ascii="宋体" w:hAnsi="宋体" w:cs="宋体"/>
          <w:b/>
          <w:color w:val="auto"/>
          <w:szCs w:val="21"/>
          <w:highlight w:val="none"/>
          <w:shd w:val="clear" w:color="auto" w:fill="ffffff"/>
        </w:rPr>
      </w:pPr>
      <w:r/>
      <w:bookmarkStart w:id="5" w:name="_Hlk162861779"/>
      <w:r>
        <w:rPr>
          <w:rFonts w:hint="eastAsia" w:ascii="宋体" w:hAnsi="宋体" w:cs="宋体"/>
          <w:b/>
          <w:color w:val="auto"/>
          <w:szCs w:val="21"/>
          <w:highlight w:val="none"/>
          <w:shd w:val="clear" w:color="auto" w:fill="ffffff"/>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（3）“CA数字证书”的办理材料以及供应商操作手册详见：</w:t>
      </w:r>
      <w:r/>
    </w:p>
    <w:p>
      <w:pPr>
        <w:ind w:firstLine="540"/>
        <w:spacing w:line="36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http://zfcg.yangzhou.gov.cn/zfcg/xzzx/202309/4d7de1f7865f4a2894fc22bc452f94d8.shtml。</w:t>
      </w:r>
      <w:r/>
    </w:p>
    <w:p>
      <w:pPr>
        <w:ind w:firstLine="540"/>
        <w:spacing w:line="36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（4）潜在供应商访问“苏采云”系统的网络地址和方法：“苏采云”系统的网址：http://jszfcg.jsczt.cn/。</w:t>
      </w:r>
      <w:r/>
    </w:p>
    <w:p>
      <w:pPr>
        <w:ind w:firstLine="540"/>
        <w:spacing w:line="36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（6）招标代理机构（采购代理机构）将数据电文形式的采购文件加载至“苏采云”系统，供潜在供应商下载或者查阅。</w:t>
      </w:r>
      <w:r/>
    </w:p>
    <w:p>
      <w:pPr>
        <w:ind w:firstLine="540"/>
        <w:spacing w:line="36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（7）苏采云系统使用谷歌浏览器参与不见面开标。</w:t>
      </w:r>
      <w:bookmarkEnd w:id="5"/>
      <w:r/>
      <w:r/>
    </w:p>
    <w:p>
      <w:pPr>
        <w:pStyle w:val="908"/>
        <w:spacing w:before="0" w:after="0" w:line="360" w:lineRule="auto"/>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四、响应文件提交</w:t>
      </w:r>
      <w:bookmarkEnd w:id="3"/>
      <w:r/>
      <w:r/>
    </w:p>
    <w:p>
      <w:pPr>
        <w:ind w:firstLine="420"/>
        <w:spacing w:line="360" w:lineRule="auto"/>
        <w:rPr>
          <w:rFonts w:ascii="宋体" w:hAnsi="宋体" w:cs="宋体"/>
          <w:bCs/>
          <w:color w:val="auto"/>
          <w:szCs w:val="21"/>
          <w:highlight w:val="none"/>
          <w:u w:val="single"/>
        </w:rPr>
      </w:pPr>
      <w:r>
        <w:rPr>
          <w:rFonts w:hint="eastAsia" w:ascii="宋体" w:hAnsi="宋体" w:cs="宋体"/>
          <w:color w:val="auto"/>
          <w:szCs w:val="21"/>
          <w:highlight w:val="none"/>
        </w:rPr>
        <w:t xml:space="preserve">1.截止时间：</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5</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12</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15</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rPr>
        <w:t xml:space="preserve">9点30分</w:t>
      </w:r>
      <w:r>
        <w:rPr>
          <w:rFonts w:hint="eastAsia" w:ascii="宋体" w:hAnsi="宋体" w:cs="宋体"/>
          <w:bCs/>
          <w:color w:val="auto"/>
          <w:szCs w:val="21"/>
          <w:highlight w:val="none"/>
        </w:rPr>
        <w:t xml:space="preserve">（北京时间）</w:t>
      </w:r>
      <w:r/>
    </w:p>
    <w:p>
      <w:pPr>
        <w:ind w:firstLine="422"/>
        <w:spacing w:line="360" w:lineRule="auto"/>
        <w:rPr>
          <w:rFonts w:ascii="宋体" w:hAnsi="宋体" w:cs="宋体"/>
          <w:b/>
          <w:bCs/>
          <w:color w:val="auto"/>
          <w:szCs w:val="21"/>
          <w:highlight w:val="none"/>
          <w:u w:val="single"/>
        </w:rPr>
      </w:pPr>
      <w:r>
        <w:rPr>
          <w:rFonts w:hint="eastAsia" w:ascii="宋体" w:hAnsi="宋体" w:cs="宋体"/>
          <w:b/>
          <w:bCs/>
          <w:color w:val="auto"/>
          <w:szCs w:val="21"/>
          <w:highlight w:val="none"/>
        </w:rPr>
        <w:t xml:space="preserve">2.响应地点：“苏采云”系统（网址： http://jszfcg.jsczt.cn/）</w:t>
      </w:r>
      <w:r/>
    </w:p>
    <w:p>
      <w:pPr>
        <w:pStyle w:val="908"/>
        <w:spacing w:before="0" w:after="0" w:line="360" w:lineRule="auto"/>
        <w:rPr>
          <w:rFonts w:ascii="宋体" w:hAnsi="宋体" w:cs="宋体"/>
          <w:bCs w:val="0"/>
          <w:color w:val="auto"/>
          <w:sz w:val="21"/>
          <w:szCs w:val="21"/>
          <w:highlight w:val="none"/>
        </w:rPr>
      </w:pPr>
      <w:r/>
      <w:bookmarkStart w:id="6" w:name="_Toc109304967"/>
      <w:r>
        <w:rPr>
          <w:rFonts w:hint="eastAsia" w:ascii="宋体" w:hAnsi="宋体" w:cs="宋体"/>
          <w:bCs w:val="0"/>
          <w:color w:val="auto"/>
          <w:sz w:val="21"/>
          <w:szCs w:val="21"/>
          <w:highlight w:val="none"/>
        </w:rPr>
        <w:t xml:space="preserve">五、开启</w:t>
      </w:r>
      <w:bookmarkEnd w:id="6"/>
      <w:r/>
      <w:r/>
    </w:p>
    <w:p>
      <w:pPr>
        <w:pStyle w:val="909"/>
        <w:spacing w:line="360" w:lineRule="auto"/>
        <w:rPr>
          <w:rFonts w:ascii="宋体" w:hAnsi="宋体" w:cs="宋体"/>
          <w:bCs/>
          <w:color w:val="auto"/>
          <w:szCs w:val="21"/>
          <w:highlight w:val="none"/>
        </w:rPr>
      </w:pPr>
      <w:r>
        <w:rPr>
          <w:rFonts w:hint="eastAsia" w:ascii="宋体" w:hAnsi="宋体" w:cs="宋体"/>
          <w:b/>
          <w:bCs/>
          <w:color w:val="auto"/>
          <w:szCs w:val="21"/>
          <w:highlight w:val="none"/>
        </w:rPr>
        <w:t xml:space="preserve">1.时间：</w:t>
      </w:r>
      <w:r>
        <w:rPr>
          <w:rFonts w:hint="eastAsia" w:ascii="宋体" w:hAnsi="宋体" w:cs="宋体"/>
          <w:bCs/>
          <w:color w:val="auto"/>
          <w:szCs w:val="21"/>
          <w:highlight w:val="none"/>
          <w:u w:val="single"/>
        </w:rPr>
        <w:t xml:space="preserve">2025年</w:t>
      </w:r>
      <w:r>
        <w:rPr>
          <w:rFonts w:hint="eastAsia" w:ascii="宋体" w:hAnsi="宋体" w:cs="宋体"/>
          <w:bCs/>
          <w:color w:val="auto"/>
          <w:szCs w:val="21"/>
          <w:highlight w:val="none"/>
          <w:u w:val="single"/>
          <w:lang w:val="en-US" w:eastAsia="zh-CN"/>
        </w:rPr>
        <w:t xml:space="preserve">12</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15</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rPr>
        <w:t xml:space="preserve">9点30分</w:t>
      </w:r>
      <w:r>
        <w:rPr>
          <w:rFonts w:hint="eastAsia" w:ascii="宋体" w:hAnsi="宋体" w:cs="宋体"/>
          <w:bCs/>
          <w:color w:val="auto"/>
          <w:szCs w:val="21"/>
          <w:highlight w:val="none"/>
        </w:rPr>
        <w:t xml:space="preserve">（北京时间）</w:t>
      </w: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    2.开启地点：</w:t>
      </w:r>
      <w:r>
        <w:rPr>
          <w:rFonts w:hint="eastAsia" w:ascii="宋体" w:hAnsi="宋体" w:cs="宋体"/>
          <w:b/>
          <w:color w:val="auto"/>
          <w:highlight w:val="none"/>
        </w:rPr>
        <w:t xml:space="preserve">苏采云系统网上开标大厅</w:t>
      </w: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p>
      <w:pPr>
        <w:pStyle w:val="908"/>
        <w:spacing w:before="0" w:after="0" w:line="360" w:lineRule="auto"/>
        <w:rPr>
          <w:rFonts w:ascii="宋体" w:hAnsi="宋体" w:cs="宋体"/>
          <w:bCs w:val="0"/>
          <w:color w:val="auto"/>
          <w:sz w:val="21"/>
          <w:szCs w:val="21"/>
          <w:highlight w:val="none"/>
        </w:rPr>
      </w:pPr>
      <w:r/>
      <w:bookmarkStart w:id="7" w:name="_Toc109304968"/>
      <w:r>
        <w:rPr>
          <w:rFonts w:hint="eastAsia" w:ascii="宋体" w:hAnsi="宋体" w:cs="宋体"/>
          <w:bCs w:val="0"/>
          <w:color w:val="auto"/>
          <w:sz w:val="21"/>
          <w:szCs w:val="21"/>
          <w:highlight w:val="none"/>
        </w:rPr>
        <w:t xml:space="preserve">六、公告期限</w:t>
      </w:r>
      <w:bookmarkEnd w:id="7"/>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自本公告发布之日起5个工作日。</w:t>
      </w:r>
      <w:r/>
    </w:p>
    <w:p>
      <w:pPr>
        <w:pStyle w:val="908"/>
        <w:spacing w:before="0" w:after="0" w:line="360" w:lineRule="auto"/>
        <w:rPr>
          <w:rFonts w:ascii="宋体" w:hAnsi="宋体" w:cs="宋体"/>
          <w:color w:val="auto"/>
          <w:sz w:val="21"/>
          <w:szCs w:val="21"/>
          <w:highlight w:val="none"/>
        </w:rPr>
      </w:pPr>
      <w:r/>
      <w:bookmarkStart w:id="8" w:name="_Toc109304969"/>
      <w:r>
        <w:rPr>
          <w:rFonts w:hint="eastAsia" w:ascii="宋体" w:hAnsi="宋体" w:cs="宋体"/>
          <w:color w:val="auto"/>
          <w:sz w:val="21"/>
          <w:szCs w:val="21"/>
          <w:highlight w:val="none"/>
        </w:rPr>
        <w:t xml:space="preserve">七、其他补充事宜</w:t>
      </w:r>
      <w:bookmarkEnd w:id="8"/>
      <w:r/>
      <w:r/>
    </w:p>
    <w:p>
      <w:pPr>
        <w:ind w:firstLine="422"/>
        <w:spacing w:line="360" w:lineRule="auto"/>
        <w:rPr>
          <w:rFonts w:ascii="宋体" w:hAnsi="宋体" w:cs="宋体"/>
          <w:b/>
          <w:color w:val="auto"/>
          <w:szCs w:val="21"/>
          <w:highlight w:val="none"/>
        </w:rPr>
      </w:pPr>
      <w:r/>
      <w:bookmarkStart w:id="9" w:name="_Hlk162861893"/>
      <w:r/>
      <w:bookmarkStart w:id="10" w:name="_Toc109304970"/>
      <w:r>
        <w:rPr>
          <w:rFonts w:hint="eastAsia" w:ascii="宋体" w:hAnsi="宋体" w:cs="宋体"/>
          <w:b/>
          <w:color w:val="auto"/>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4.潜在供应商对采购文件项目需求部分的询问、质疑请向采购人提出，由采购人负责答复。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5.本次采购不收取保证金。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6.有关本次采购的事项若存在变动或修改，敬请及时关注</w:t>
      </w:r>
      <w:r>
        <w:rPr>
          <w:rFonts w:hint="eastAsia" w:ascii="宋体" w:hAnsi="宋体" w:cs="宋体"/>
          <w:color w:val="auto"/>
          <w:highlight w:val="none"/>
          <w:lang w:eastAsia="zh-CN"/>
        </w:rPr>
        <w:t xml:space="preserve">“扬州市邗江区政府采购网”“扬州市政府采购网”“江苏政府采购网”</w:t>
      </w:r>
      <w:r>
        <w:rPr>
          <w:rFonts w:hint="eastAsia" w:ascii="宋体" w:hAnsi="宋体" w:cs="宋体"/>
          <w:bCs/>
          <w:color w:val="auto"/>
          <w:szCs w:val="21"/>
          <w:highlight w:val="none"/>
        </w:rPr>
        <w:t xml:space="preserve">发布的信息。</w:t>
      </w:r>
      <w:r/>
    </w:p>
    <w:p>
      <w:pPr>
        <w:ind w:firstLine="422"/>
        <w:spacing w:line="360" w:lineRule="auto"/>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7.本项目磋商文件中所有斜体下划线部分为实质性条款，如不满足，则为无效响应。</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9.如在开标时间发生系统崩溃等不可预见的情况，造成开评标活动无法正常进行的，将延迟开评标，具体开评标时间另行通知。</w:t>
      </w:r>
      <w:bookmarkEnd w:id="9"/>
      <w:r/>
      <w:r/>
    </w:p>
    <w:p>
      <w:pPr>
        <w:pStyle w:val="919"/>
        <w:ind w:firstLine="422"/>
        <w:spacing w:line="360" w:lineRule="auto"/>
        <w:rPr>
          <w:rFonts w:hAnsi="宋体" w:cs="宋体"/>
          <w:b/>
          <w:bCs/>
          <w:color w:val="auto"/>
          <w:sz w:val="21"/>
          <w:szCs w:val="22"/>
          <w:highlight w:val="none"/>
        </w:rPr>
      </w:pPr>
      <w:r/>
      <w:bookmarkStart w:id="11" w:name="_Hlk162861947"/>
      <w:r>
        <w:rPr>
          <w:rFonts w:hint="eastAsia" w:hAnsi="宋体" w:cs="宋体"/>
          <w:b/>
          <w:bCs/>
          <w:color w:val="auto"/>
          <w:sz w:val="21"/>
          <w:szCs w:val="22"/>
          <w:highlight w:val="none"/>
        </w:rPr>
        <w:t xml:space="preserve">10.落实好政府采购履约资金扶持政策。中标/成交供应商可凭政府采购合同办理融资贷款，详见江苏政府采购网“政采贷”专栏。</w:t>
      </w:r>
      <w:r/>
    </w:p>
    <w:p>
      <w:pPr>
        <w:pStyle w:val="919"/>
        <w:ind w:firstLine="422"/>
        <w:spacing w:line="360" w:lineRule="auto"/>
        <w:rPr>
          <w:rFonts w:hAnsi="宋体" w:cs="宋体"/>
          <w:b/>
          <w:bCs/>
          <w:color w:val="auto"/>
          <w:sz w:val="21"/>
          <w:szCs w:val="22"/>
          <w:highlight w:val="none"/>
        </w:rPr>
      </w:pPr>
      <w:r>
        <w:rPr>
          <w:rFonts w:hint="eastAsia" w:hAnsi="宋体" w:cs="宋体"/>
          <w:b/>
          <w:bCs/>
          <w:color w:val="auto"/>
          <w:sz w:val="21"/>
          <w:szCs w:val="22"/>
          <w:highlight w:val="none"/>
        </w:rPr>
        <w:t xml:space="preserve">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919"/>
        <w:ind w:firstLine="422"/>
        <w:spacing w:line="360" w:lineRule="auto"/>
        <w:rPr>
          <w:rFonts w:hAnsi="宋体" w:cs="宋体"/>
          <w:b/>
          <w:bCs/>
          <w:color w:val="auto"/>
          <w:sz w:val="21"/>
          <w:szCs w:val="22"/>
          <w:highlight w:val="none"/>
        </w:rPr>
      </w:pPr>
      <w:r>
        <w:rPr>
          <w:rFonts w:hint="eastAsia" w:hAnsi="宋体" w:cs="宋体"/>
          <w:b/>
          <w:bCs/>
          <w:color w:val="auto"/>
          <w:sz w:val="21"/>
          <w:highlight w:val="none"/>
          <w:shd w:val="clear" w:color="auto" w:fill="ffffff"/>
        </w:rPr>
        <w:t xml:space="preserve">12.</w:t>
      </w:r>
      <w:r>
        <w:rPr>
          <w:rFonts w:hint="eastAsia" w:hAnsi="宋体" w:cs="宋体"/>
          <w:b/>
          <w:bCs/>
          <w:color w:val="auto"/>
          <w:sz w:val="21"/>
          <w:szCs w:val="22"/>
          <w:highlight w:val="none"/>
        </w:rPr>
        <w:t xml:space="preserve">严格执行政府采购关于支持</w:t>
      </w:r>
      <w:r>
        <w:rPr>
          <w:rFonts w:hint="eastAsia" w:hAnsi="宋体" w:cs="宋体"/>
          <w:b/>
          <w:bCs/>
          <w:color w:val="auto"/>
          <w:sz w:val="21"/>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19"/>
        <w:ind w:firstLine="422"/>
        <w:spacing w:line="360" w:lineRule="auto"/>
        <w:rPr>
          <w:rFonts w:hAnsi="宋体" w:cs="宋体"/>
          <w:b/>
          <w:bCs/>
          <w:color w:val="auto"/>
          <w:sz w:val="21"/>
          <w:szCs w:val="22"/>
          <w:highlight w:val="none"/>
        </w:rPr>
      </w:pPr>
      <w:r>
        <w:rPr>
          <w:rFonts w:hint="eastAsia" w:hAnsi="宋体" w:cs="宋体"/>
          <w:b/>
          <w:bCs/>
          <w:color w:val="auto"/>
          <w:sz w:val="21"/>
          <w:szCs w:val="22"/>
          <w:highlight w:val="none"/>
        </w:rPr>
        <w:t xml:space="preserve">13.供应商对于投标产品的包装应按照“财办库〔2020〕123号《关于印发《商品包装政府采购需求标准（试行）》、《快递包装政府采购需求标准（试行）》的通知》”执行。</w:t>
      </w:r>
      <w:bookmarkEnd w:id="11"/>
      <w:r/>
      <w:r/>
    </w:p>
    <w:p>
      <w:pPr>
        <w:pStyle w:val="908"/>
        <w:spacing w:before="0" w:after="0" w:line="360" w:lineRule="auto"/>
        <w:rPr>
          <w:rFonts w:ascii="宋体" w:hAnsi="宋体" w:cs="宋体"/>
          <w:bCs w:val="0"/>
          <w:color w:val="auto"/>
          <w:sz w:val="21"/>
          <w:szCs w:val="21"/>
          <w:highlight w:val="none"/>
        </w:rPr>
      </w:pPr>
      <w:r>
        <w:rPr>
          <w:rFonts w:hint="eastAsia" w:ascii="宋体" w:hAnsi="宋体" w:cs="宋体"/>
          <w:bCs w:val="0"/>
          <w:color w:val="auto"/>
          <w:sz w:val="21"/>
          <w:szCs w:val="21"/>
          <w:highlight w:val="none"/>
        </w:rPr>
        <w:t xml:space="preserve">八、本次竞争性磋商联系方式</w:t>
      </w:r>
      <w:bookmarkEnd w:id="10"/>
      <w:r/>
      <w:r/>
    </w:p>
    <w:p>
      <w:pPr>
        <w:pStyle w:val="919"/>
        <w:ind w:firstLine="420"/>
        <w:spacing w:line="360" w:lineRule="auto"/>
        <w:rPr>
          <w:rFonts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称：扬州市邗江区人民政府双桥街道办事处</w:t>
      </w:r>
      <w:r/>
    </w:p>
    <w:p>
      <w:pPr>
        <w:ind w:firstLine="420"/>
        <w:jc w:val="left"/>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rPr>
        <w:t xml:space="preserve">地 址：扬州市邗江区双桥街道文汇东路130号</w:t>
      </w:r>
      <w:r/>
    </w:p>
    <w:p>
      <w:pPr>
        <w:ind w:firstLine="42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姜</w:t>
      </w:r>
      <w:r>
        <w:rPr>
          <w:rFonts w:hint="eastAsia" w:ascii="宋体" w:hAnsi="宋体" w:cs="宋体"/>
          <w:color w:val="auto"/>
          <w:szCs w:val="21"/>
          <w:highlight w:val="none"/>
        </w:rPr>
        <w:t xml:space="preserve">先生</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联系方式：0514-87365385</w:t>
      </w:r>
      <w:r/>
    </w:p>
    <w:p>
      <w:pPr>
        <w:pStyle w:val="919"/>
        <w:ind w:firstLine="420"/>
        <w:spacing w:line="360" w:lineRule="auto"/>
        <w:rPr>
          <w:rFonts w:hAnsi="宋体" w:cs="宋体"/>
          <w:color w:val="auto"/>
          <w:sz w:val="21"/>
          <w:szCs w:val="21"/>
          <w:highlight w:val="none"/>
        </w:rPr>
      </w:pPr>
      <w:r>
        <w:rPr>
          <w:rFonts w:hint="eastAsia" w:hAnsi="宋体" w:cs="宋体"/>
          <w:color w:val="auto"/>
          <w:sz w:val="21"/>
          <w:szCs w:val="21"/>
          <w:highlight w:val="none"/>
        </w:rPr>
        <w:t xml:space="preserve">2.代理公司信息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称：</w:t>
      </w:r>
      <w:r>
        <w:rPr>
          <w:rFonts w:hint="eastAsia" w:hAnsi="宋体" w:cs="宋体"/>
          <w:color w:val="000000"/>
          <w:sz w:val="21"/>
          <w:szCs w:val="21"/>
          <w:highlight w:val="none"/>
          <w:lang w:eastAsia="zh-CN"/>
        </w:rPr>
        <w:t xml:space="preserve">江苏汇诚投资咨询管理有限公司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址：扬州市邗江北路68号3楼</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秦扬</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联系方式：0514-89787280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r>
      <w:r/>
    </w:p>
    <w:p>
      <w:pPr>
        <w:pStyle w:val="907"/>
        <w:jc w:val="center"/>
        <w:spacing w:line="360" w:lineRule="auto"/>
        <w:rPr>
          <w:rFonts w:ascii="宋体" w:hAnsi="宋体" w:cs="宋体"/>
          <w:color w:val="auto"/>
          <w:highlight w:val="none"/>
        </w:rPr>
      </w:pPr>
      <w:r/>
      <w:bookmarkStart w:id="12" w:name="_Toc109304972"/>
      <w:r>
        <w:rPr>
          <w:rFonts w:hint="eastAsia" w:ascii="宋体" w:hAnsi="宋体" w:cs="宋体"/>
          <w:color w:val="auto"/>
          <w:highlight w:val="none"/>
        </w:rPr>
        <w:t xml:space="preserve">第二章 磋商须知</w:t>
      </w:r>
      <w:bookmarkEnd w:id="12"/>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1、采购方式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 本次采购采取竞争性磋商方式，本采购文件仅适用于</w:t>
      </w:r>
      <w:r>
        <w:rPr>
          <w:rFonts w:hint="eastAsia" w:ascii="宋体" w:hAnsi="宋体" w:cs="宋体"/>
          <w:color w:val="auto"/>
          <w:szCs w:val="21"/>
          <w:highlight w:val="none"/>
          <w:lang w:val="en-US" w:eastAsia="zh-CN"/>
        </w:rPr>
        <w:t xml:space="preserve">JSZC-321003-JSZC-C2025-0106</w:t>
      </w:r>
      <w:r>
        <w:rPr>
          <w:rFonts w:hint="eastAsia" w:ascii="宋体" w:hAnsi="宋体" w:cs="宋体"/>
          <w:color w:val="auto"/>
          <w:highlight w:val="none"/>
        </w:rPr>
        <w:t xml:space="preserve">号</w:t>
      </w:r>
      <w:r>
        <w:rPr>
          <w:rFonts w:hint="eastAsia" w:ascii="宋体" w:hAnsi="宋体" w:cs="宋体"/>
          <w:color w:val="auto"/>
          <w:highlight w:val="none"/>
        </w:rPr>
        <w:t xml:space="preserve">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2.2合格的供应商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2.2.2 满足本文件实质性条款的规定。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3、适用法律</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3.1 本次采购及由此产生的合同受中华人民共和国有关的法律法规制约和保护。</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4、参加磋商费用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4.1 供应商应自行承担所有与参加磋商有关的费用，无论磋商过程中的做法和结果如何，</w:t>
      </w:r>
      <w:r>
        <w:rPr>
          <w:rFonts w:hint="eastAsia" w:ascii="宋体" w:hAnsi="宋体" w:cs="宋体"/>
          <w:color w:val="auto"/>
          <w:highlight w:val="none"/>
          <w:lang w:eastAsia="zh-CN"/>
        </w:rPr>
        <w:t xml:space="preserve">江苏汇诚投资咨询管理有限公司</w:t>
      </w:r>
      <w:r>
        <w:rPr>
          <w:rFonts w:hint="eastAsia" w:ascii="宋体" w:hAnsi="宋体" w:cs="宋体"/>
          <w:color w:val="auto"/>
          <w:highlight w:val="none"/>
        </w:rPr>
        <w:t xml:space="preserve">(以下简称代理机构)在任何情况下均无义务和责任承担这些费用。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4.2</w:t>
      </w:r>
      <w:r>
        <w:rPr>
          <w:rFonts w:hint="eastAsia" w:ascii="宋体" w:hAnsi="宋体" w:cs="宋体"/>
          <w:color w:val="auto"/>
          <w:szCs w:val="21"/>
          <w:highlight w:val="none"/>
        </w:rPr>
        <w:t xml:space="preserve">本次采购招标代理费为：按发改价格(2011)534号文件规定标准*</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%，由</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供应商领取</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通知书前一次性支付给招标代理单位。</w:t>
      </w:r>
      <w:r/>
    </w:p>
    <w:p>
      <w:pPr>
        <w:pStyle w:val="938"/>
        <w:ind w:firstLine="420"/>
        <w:spacing w:line="360" w:lineRule="auto"/>
        <w:rPr>
          <w:rFonts w:hAnsi="宋体" w:cs="宋体"/>
          <w:color w:val="auto"/>
          <w:sz w:val="21"/>
          <w:szCs w:val="22"/>
          <w:highlight w:val="none"/>
        </w:rPr>
      </w:pPr>
      <w:r>
        <w:rPr>
          <w:rFonts w:hint="eastAsia" w:hAnsi="宋体" w:cs="宋体"/>
          <w:color w:val="auto"/>
          <w:sz w:val="21"/>
          <w:szCs w:val="22"/>
          <w:highlight w:val="none"/>
        </w:rPr>
        <w:t xml:space="preserve">（1）代理服务费以人民币支付；</w:t>
      </w:r>
      <w:r/>
    </w:p>
    <w:p>
      <w:pPr>
        <w:pStyle w:val="938"/>
        <w:ind w:firstLine="420"/>
        <w:spacing w:line="360" w:lineRule="auto"/>
        <w:rPr>
          <w:rFonts w:hAnsi="宋体" w:cs="宋体"/>
          <w:color w:val="auto"/>
          <w:sz w:val="21"/>
          <w:szCs w:val="22"/>
          <w:highlight w:val="none"/>
        </w:rPr>
      </w:pPr>
      <w:r>
        <w:rPr>
          <w:rFonts w:hint="eastAsia" w:hAnsi="宋体" w:cs="宋体"/>
          <w:color w:val="auto"/>
          <w:sz w:val="21"/>
          <w:szCs w:val="22"/>
          <w:highlight w:val="none"/>
        </w:rPr>
        <w:t xml:space="preserve">（2）代理服务费一次性以电汇、转账等非现金形式支付；</w:t>
      </w:r>
      <w:r/>
    </w:p>
    <w:p>
      <w:pPr>
        <w:pStyle w:val="938"/>
        <w:ind w:firstLine="420"/>
        <w:spacing w:line="360" w:lineRule="auto"/>
        <w:rPr>
          <w:rFonts w:hAnsi="宋体" w:cs="宋体"/>
          <w:color w:val="auto"/>
          <w:sz w:val="21"/>
          <w:szCs w:val="22"/>
          <w:highlight w:val="none"/>
        </w:rPr>
      </w:pPr>
      <w:r>
        <w:rPr>
          <w:rFonts w:hint="eastAsia" w:hAnsi="宋体" w:cs="宋体"/>
          <w:color w:val="auto"/>
          <w:sz w:val="21"/>
          <w:szCs w:val="22"/>
          <w:highlight w:val="none"/>
        </w:rPr>
        <w:t xml:space="preserve">（3）招标代理服务费不在投标报价中单列，包含在投标总价中，由成交单位支付给代理机构。</w:t>
      </w:r>
      <w:r/>
    </w:p>
    <w:p>
      <w:pPr>
        <w:ind w:firstLine="420"/>
        <w:spacing w:line="360" w:lineRule="auto"/>
        <w:rPr>
          <w:rFonts w:ascii="宋体" w:hAnsi="宋体" w:cs="宋体"/>
          <w:color w:val="auto"/>
          <w:highlight w:val="none"/>
        </w:rPr>
      </w:pPr>
      <w:r/>
      <w:bookmarkStart w:id="13" w:name="_Hlk115095815"/>
      <w:r>
        <w:rPr>
          <w:rFonts w:hint="eastAsia" w:ascii="宋体" w:hAnsi="宋体" w:cs="宋体"/>
          <w:color w:val="auto"/>
          <w:highlight w:val="none"/>
        </w:rPr>
        <w:t xml:space="preserve">4.3专家评审费按扬财购【2020】40 号文《关于进一步规范扬州市政府采购专家评审费标准的通知》执行。</w:t>
      </w:r>
      <w:bookmarkEnd w:id="13"/>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5、采购文件的约束力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6、采购文件构成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 采购文件有以下部分组成：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（1）采购公告</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（2）磋商须知</w:t>
      </w:r>
      <w:r>
        <w:rPr>
          <w:rFonts w:hint="eastAsia" w:ascii="宋体" w:hAnsi="宋体" w:cs="宋体"/>
          <w:color w:val="auto"/>
          <w:highlight w:val="none"/>
        </w:rPr>
        <w:tab/>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（3）合同条款及格式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（4）项目需求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（5）评审方法与评审标准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（6）竞争性磋商响应文件格式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7</w:t>
      </w:r>
      <w:r>
        <w:rPr>
          <w:rFonts w:hint="eastAsia" w:ascii="宋体" w:hAnsi="宋体" w:cs="宋体"/>
          <w:b/>
          <w:bCs/>
          <w:color w:val="auto"/>
          <w:highlight w:val="none"/>
        </w:rPr>
        <w:t xml:space="preserve">、</w:t>
      </w:r>
      <w:r>
        <w:rPr>
          <w:rFonts w:hint="eastAsia" w:ascii="宋体" w:hAnsi="宋体" w:cs="宋体"/>
          <w:color w:val="auto"/>
          <w:highlight w:val="none"/>
        </w:rPr>
        <w:t xml:space="preserve">采购文件的澄清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8</w:t>
      </w:r>
      <w:r>
        <w:rPr>
          <w:rFonts w:hint="eastAsia" w:ascii="宋体" w:hAnsi="宋体" w:cs="宋体"/>
          <w:b/>
          <w:bCs/>
          <w:color w:val="auto"/>
          <w:highlight w:val="none"/>
        </w:rPr>
        <w:t xml:space="preserve">、</w:t>
      </w:r>
      <w:r>
        <w:rPr>
          <w:rFonts w:hint="eastAsia" w:ascii="宋体" w:hAnsi="宋体" w:cs="宋体"/>
          <w:color w:val="auto"/>
          <w:highlight w:val="none"/>
        </w:rPr>
        <w:t xml:space="preserve">采购文件的修改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8.2采购文件的修改将在</w:t>
      </w:r>
      <w:r>
        <w:rPr>
          <w:rFonts w:hint="eastAsia" w:ascii="宋体" w:hAnsi="宋体" w:cs="宋体"/>
          <w:color w:val="auto"/>
          <w:highlight w:val="none"/>
          <w:lang w:eastAsia="zh-CN"/>
        </w:rPr>
        <w:t xml:space="preserve">“扬州市邗江区政府采购网”“扬州市政府采购网”“江苏政府采购网”</w:t>
      </w:r>
      <w:r>
        <w:rPr>
          <w:rFonts w:hint="eastAsia" w:ascii="宋体" w:hAnsi="宋体" w:cs="宋体"/>
          <w:color w:val="auto"/>
          <w:highlight w:val="none"/>
        </w:rPr>
        <w:t xml:space="preserve">公布，补充文件将作为采购文件的组成部分，并对供应商具有约束力。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9、采购文件的语言、度量衡单位、货币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10、响应文件构成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10.1磋商文件由以下部分组成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（1）资格审查响应对照表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（2）符合性审查响应对照表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（3）非实质性响应对照表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（4）磋商响应报价表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（5）技术参数响应及偏离表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（6）商务条款响应及偏离表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（7）其他 （供应商认为有必要提供的声明和文件，如有自拟并自行添加）</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11、证明供应商资格及符合采购文件规定的文件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12、磋商响应报价表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12.2 标的物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采购人需求的服务供应、安装，调试及有关技术服务等。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12.3其它费用处理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13、技术参数响应及偏离表、商务条款响应及偏离表及磋商服务说明</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13.2 提供参加本项目类似案例简介；</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14、服务承诺及售后服务机构、人员的情况介绍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15、磋商响应函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16、磋商响应有效期</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b/>
          <w:bCs/>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ascii="宋体" w:hAnsi="宋体" w:cs="宋体"/>
          <w:color w:val="auto"/>
          <w:highlight w:val="none"/>
        </w:rPr>
      </w:pPr>
      <w:r/>
      <w:bookmarkStart w:id="14" w:name="_Toc20823297"/>
      <w:r/>
      <w:bookmarkStart w:id="15" w:name="_Toc16938541"/>
      <w:r>
        <w:rPr>
          <w:rFonts w:hint="eastAsia" w:ascii="宋体" w:hAnsi="宋体" w:cs="宋体"/>
          <w:color w:val="auto"/>
          <w:highlight w:val="none"/>
        </w:rPr>
        <w:t xml:space="preserve">17、响应文件</w:t>
      </w:r>
      <w:bookmarkEnd w:id="14"/>
      <w:r/>
      <w:bookmarkEnd w:id="15"/>
      <w:r>
        <w:rPr>
          <w:rFonts w:hint="eastAsia" w:ascii="宋体" w:hAnsi="宋体" w:cs="宋体"/>
          <w:color w:val="auto"/>
          <w:highlight w:val="none"/>
        </w:rPr>
        <w:t xml:space="preserve">的递交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bookmarkStart w:id="16" w:name="_Toc16938542"/>
      <w:r/>
      <w:bookmarkStart w:id="17" w:name="_Toc20823298"/>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相关要求是本采购文件的组成部分。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17.3供应商应对 CA 证书妥善保管，如被他人盗用投标，因此带来的结果均由供应商自行承担。</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17.4供应商应当对采购文件提出的要求和条件作出实质性响应，并在电子投标系统逐条应答。</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17.6各供应商应在规定时间内凭CA证书进行网上解密。</w:t>
      </w:r>
      <w:r/>
    </w:p>
    <w:p>
      <w:pPr>
        <w:ind w:firstLine="422"/>
        <w:spacing w:line="360" w:lineRule="auto"/>
        <w:rPr>
          <w:rFonts w:ascii="宋体" w:hAnsi="宋体" w:cs="宋体"/>
          <w:bCs/>
          <w:color w:val="auto"/>
          <w:sz w:val="24"/>
          <w:highlight w:val="none"/>
        </w:rPr>
      </w:pPr>
      <w:r>
        <w:rPr>
          <w:rFonts w:hint="eastAsia" w:ascii="宋体" w:hAnsi="宋体" w:cs="宋体"/>
          <w:b/>
          <w:bCs/>
          <w:color w:val="auto"/>
          <w:highlight w:val="none"/>
        </w:rPr>
        <w:t xml:space="preserve">18、磋商响应截止日期</w:t>
      </w:r>
      <w:bookmarkEnd w:id="16"/>
      <w:r/>
      <w:bookmarkEnd w:id="17"/>
      <w:r/>
      <w:r/>
    </w:p>
    <w:p>
      <w:pPr>
        <w:ind w:firstLine="420"/>
        <w:spacing w:line="360" w:lineRule="auto"/>
        <w:rPr>
          <w:rFonts w:ascii="宋体" w:hAnsi="宋体" w:cs="宋体"/>
          <w:bCs/>
          <w:i/>
          <w:color w:val="auto"/>
          <w:highlight w:val="none"/>
          <w:u w:val="single"/>
        </w:rPr>
      </w:pPr>
      <w:r>
        <w:rPr>
          <w:rFonts w:hint="eastAsia" w:ascii="宋体" w:hAnsi="宋体" w:cs="宋体"/>
          <w:i/>
          <w:color w:val="auto"/>
          <w:highlight w:val="none"/>
          <w:u w:val="single"/>
        </w:rPr>
        <w:t xml:space="preserve">18.1</w:t>
      </w:r>
      <w:r>
        <w:rPr>
          <w:rFonts w:hint="eastAsia" w:ascii="宋体" w:hAnsi="宋体" w:cs="宋体"/>
          <w:bCs/>
          <w:i/>
          <w:color w:val="auto"/>
          <w:highlight w:val="none"/>
          <w:u w:val="single"/>
        </w:rPr>
        <w:t xml:space="preserve"> 供应商上传电子响应文件的时间不得迟于采购公告中规定的磋商响应截止时间。</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ascii="宋体" w:hAnsi="宋体" w:cs="宋体"/>
          <w:color w:val="auto"/>
          <w:highlight w:val="none"/>
        </w:rPr>
      </w:pPr>
      <w:r/>
      <w:bookmarkStart w:id="18" w:name="_Toc16938543"/>
      <w:r/>
      <w:bookmarkStart w:id="19" w:name="_Toc20823299"/>
      <w:r>
        <w:rPr>
          <w:rFonts w:hint="eastAsia" w:ascii="宋体" w:hAnsi="宋体" w:cs="宋体"/>
          <w:color w:val="auto"/>
          <w:highlight w:val="none"/>
        </w:rPr>
        <w:t xml:space="preserve">19、响应文件</w:t>
      </w:r>
      <w:bookmarkEnd w:id="18"/>
      <w:r/>
      <w:bookmarkEnd w:id="19"/>
      <w:r>
        <w:rPr>
          <w:rFonts w:hint="eastAsia" w:ascii="宋体" w:hAnsi="宋体" w:cs="宋体"/>
          <w:color w:val="auto"/>
          <w:highlight w:val="none"/>
        </w:rPr>
        <w:t xml:space="preserve">的拒收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ind w:firstLine="420"/>
        <w:spacing w:line="360" w:lineRule="auto"/>
        <w:rPr>
          <w:rFonts w:ascii="宋体" w:hAnsi="宋体" w:cs="宋体"/>
          <w:color w:val="auto"/>
          <w:highlight w:val="none"/>
        </w:rPr>
      </w:pPr>
      <w:r/>
      <w:bookmarkStart w:id="20" w:name="_Toc16938544"/>
      <w:r/>
      <w:bookmarkStart w:id="21" w:name="_Toc20823300"/>
      <w:r>
        <w:rPr>
          <w:rFonts w:hint="eastAsia" w:ascii="宋体" w:hAnsi="宋体" w:cs="宋体"/>
          <w:color w:val="auto"/>
          <w:highlight w:val="none"/>
        </w:rPr>
        <w:t xml:space="preserve">20、响应文件的撤回和修改</w:t>
      </w:r>
      <w:bookmarkEnd w:id="20"/>
      <w:r/>
      <w:bookmarkEnd w:id="21"/>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20.1 响应文件的撤回</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20.1.1 电子响应文件的撤回</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供应商撤回电子响应文件，则认为其不再参与本项目磋商谈判。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20.2 响应文件的修改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21、磋商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22、磋商小组</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22.1磋商开始后，代理机构将立即组织磋商小组进行评审。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23、评审过程的保密与公正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24、磋商的澄清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中做出澄清，澄清的内容作为响应文件的补充部分。具体操作方式见</w:t>
      </w:r>
      <w:r>
        <w:rPr>
          <w:rFonts w:hint="eastAsia" w:ascii="宋体" w:hAnsi="宋体" w:cs="宋体"/>
          <w:bCs/>
          <w:color w:val="auto"/>
          <w:highlight w:val="none"/>
        </w:rPr>
        <w:t xml:space="preserve">《操作手册》</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24.3 接到磋商小组澄清要求的供应商如未按规定做出澄清，其风险由供应商自行承担。</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25、对响应文件的初审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中告知未通过资格审查或符合性审查的原因，评审结束后，代理机构将不再告知未通过资格审查或符合性审查的原因。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26、磋商程序及评审方法和标准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26.1磋商程序</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26.1.1 对于通过资格性和符合性审查的供应商，磋商小组所有成员将集中与单一供应商在“政府采购管理交易系统（苏采云）”中分别进行磋商。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 26.1.2 采购文件能够详细列明采购标的的技术、服务要求的，磋商结束后，磋商小组将要求所有实质性响应的供应商在规定时间内提交最后报价。</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26.2 评审方法和标准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26.2.2评审标准</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见本采购文件第五章规定。</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27、无效响应及采购活动终止的情况</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27.1无效响应条款</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27.1.1 供应商未按照采购文件要求上传电子磋商响应文件的。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27.1.2 供应商未成功解密电子磋商响应文件的。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27.1.3 供应商不具备采购文件中规定资格要求的。</w:t>
      </w:r>
      <w:r/>
    </w:p>
    <w:p>
      <w:pPr>
        <w:ind w:firstLine="420"/>
        <w:spacing w:line="360" w:lineRule="auto"/>
        <w:rPr>
          <w:rFonts w:ascii="宋体" w:hAnsi="宋体" w:cs="宋体"/>
          <w:bCs/>
          <w:i/>
          <w:color w:val="auto"/>
          <w:highlight w:val="none"/>
          <w:u w:val="single"/>
        </w:rPr>
      </w:pPr>
      <w:r>
        <w:rPr>
          <w:rFonts w:hint="eastAsia" w:ascii="宋体" w:hAnsi="宋体" w:cs="宋体"/>
          <w:bCs/>
          <w:color w:val="auto"/>
          <w:highlight w:val="none"/>
        </w:rPr>
        <w:t xml:space="preserve">27.1.4 未通过符合性审查的。</w:t>
      </w:r>
      <w:r/>
    </w:p>
    <w:p>
      <w:pPr>
        <w:ind w:firstLine="420"/>
        <w:spacing w:line="360" w:lineRule="auto"/>
        <w:rPr>
          <w:rFonts w:ascii="宋体" w:hAnsi="宋体" w:cs="宋体"/>
          <w:bCs/>
          <w:i/>
          <w:color w:val="auto"/>
          <w:highlight w:val="none"/>
          <w:u w:val="single"/>
        </w:rPr>
      </w:pPr>
      <w:r>
        <w:rPr>
          <w:rFonts w:hint="eastAsia" w:ascii="宋体" w:hAnsi="宋体" w:cs="宋体"/>
          <w:bCs/>
          <w:color w:val="auto"/>
          <w:highlight w:val="none"/>
        </w:rPr>
        <w:t xml:space="preserve">27.1.5 不符合采购文件中规定的其他实质性要求和条件的（</w:t>
      </w:r>
      <w:r>
        <w:rPr>
          <w:rFonts w:hint="eastAsia" w:ascii="宋体" w:hAnsi="宋体" w:cs="宋体"/>
          <w:bCs/>
          <w:i/>
          <w:color w:val="auto"/>
          <w:highlight w:val="none"/>
          <w:u w:val="single"/>
        </w:rPr>
        <w:t xml:space="preserve">本采购文件中斜体且有下划线部分为实质性要求和条件）。</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27.1.6 </w:t>
      </w:r>
      <w:r>
        <w:rPr>
          <w:rFonts w:hint="eastAsia" w:ascii="宋体" w:hAnsi="宋体" w:cs="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27.1.8 响应文件未按照采购文件要求加盖电子签章。</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27.1.9 其他法律、法规及本采购文件规定的属无效响应的情形。</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27.2 </w:t>
      </w:r>
      <w:r>
        <w:rPr>
          <w:rFonts w:hint="eastAsia" w:ascii="宋体" w:hAnsi="宋体" w:cs="宋体"/>
          <w:color w:val="auto"/>
          <w:highlight w:val="none"/>
        </w:rPr>
        <w:t xml:space="preserve">采购活动终止的情况</w:t>
      </w:r>
      <w:r>
        <w:rPr>
          <w:rFonts w:hint="eastAsia" w:ascii="宋体" w:hAnsi="宋体" w:cs="宋体"/>
          <w:bCs/>
          <w:color w:val="auto"/>
          <w:highlight w:val="none"/>
        </w:rPr>
        <w:t xml:space="preserve">：</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27.2.1 因情况变化，不再符合规定的竞争性磋商采购方式适用情形的；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27.2.2 出现影响采购公正的违法、违规行为的；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27.2.3 </w:t>
      </w:r>
      <w:r>
        <w:rPr>
          <w:rFonts w:hint="eastAsia" w:ascii="宋体" w:hAnsi="宋体" w:cs="宋体"/>
          <w:color w:val="auto"/>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27.2.4 因重大变故，采购任务取消的。</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28、确定成交单位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28.2 采购人应根据磋商推荐的成交候选人，按照排序由高到低的原件确定成交供应商。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28.3 代理机构将在</w:t>
      </w:r>
      <w:r>
        <w:rPr>
          <w:rFonts w:hint="eastAsia" w:ascii="宋体" w:hAnsi="宋体" w:cs="宋体"/>
          <w:color w:val="auto"/>
          <w:highlight w:val="none"/>
          <w:lang w:eastAsia="zh-CN"/>
        </w:rPr>
        <w:t xml:space="preserve">“扬州市邗江区政府采购网”“扬州市政府采购网”“江苏政府采购网”</w:t>
      </w:r>
      <w:r>
        <w:rPr>
          <w:rFonts w:hint="eastAsia" w:ascii="宋体" w:hAnsi="宋体" w:cs="宋体"/>
          <w:color w:val="auto"/>
          <w:highlight w:val="none"/>
        </w:rPr>
        <w:t xml:space="preserve">发布成交公告，公告期限为1个工作日。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28.4.1 提供虚假材料谋取成交的；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28.4.7 不符合法律、法规的规定的。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29、质疑处理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29.2.2对采购过程提出质疑的，为各采购程序环节结束之日起7个工作日内提出。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29.2.3对成交结果提出质疑的，为成交结果公告期限届满之日起7个工作日内提出。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 以下情形的质疑不予受理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29.8.2 超出政府采购法定期限的质疑。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ascii="宋体" w:hAnsi="宋体" w:cs="宋体"/>
          <w:b/>
          <w:bCs/>
          <w:color w:val="auto"/>
          <w:highlight w:val="none"/>
        </w:rPr>
      </w:pPr>
      <w:r>
        <w:rPr>
          <w:rFonts w:hint="eastAsia" w:ascii="宋体" w:hAnsi="宋体" w:cs="宋体"/>
          <w:color w:val="auto"/>
          <w:highlight w:val="none"/>
        </w:rPr>
        <w:t xml:space="preserve">30、成交通知书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30.l成交结果确定后，代理机构将向成交供应商发出成通知书。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31、签订合同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31.l成交供应商应在成交通知书发出之日起十五日内，按照采购文件确定的事项与采购人签订政府采购合同。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31.2采购文件、成交供应商的响应文件及磋商过程中有关澄清、承诺文件均应作为合同附件。</w:t>
      </w:r>
      <w:r/>
    </w:p>
    <w:p>
      <w:pPr>
        <w:ind w:firstLine="420"/>
        <w:spacing w:line="360" w:lineRule="auto"/>
        <w:rPr>
          <w:rFonts w:ascii="宋体" w:hAnsi="宋体" w:cs="宋体"/>
          <w:color w:val="auto"/>
          <w:highlight w:val="none"/>
        </w:rPr>
      </w:pPr>
      <w:r>
        <w:rPr>
          <w:rFonts w:hint="eastAsia" w:ascii="宋体" w:hAnsi="宋体" w:cs="宋体"/>
          <w:bCs/>
          <w:color w:val="auto"/>
          <w:szCs w:val="21"/>
          <w:highlight w:val="none"/>
        </w:rPr>
        <w:t xml:space="preserve">31.3 合同在“政府采购管理交易系统（苏采云）”中签订，签订合同后，</w:t>
      </w:r>
      <w:r>
        <w:rPr>
          <w:rFonts w:hint="eastAsia" w:ascii="宋体" w:hAnsi="宋体" w:cs="宋体"/>
          <w:bCs/>
          <w:i/>
          <w:iCs/>
          <w:color w:val="auto"/>
          <w:szCs w:val="21"/>
          <w:highlight w:val="none"/>
          <w:u w:val="single"/>
        </w:rPr>
        <w:t xml:space="preserve">成交供应商不得将货物或服务及其他服务进行转包</w:t>
      </w:r>
      <w:r>
        <w:rPr>
          <w:rFonts w:hint="eastAsia" w:ascii="宋体" w:hAnsi="宋体" w:cs="宋体"/>
          <w:bCs/>
          <w:color w:val="auto"/>
          <w:szCs w:val="21"/>
          <w:highlight w:val="none"/>
        </w:rPr>
        <w:t xml:space="preserve">。否则采购人有权终止合同，成交供应商的履约保证金将不予退还。转包或分包造成采购人损失的，成交供应商应承担赔偿责任。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highlight w:val="none"/>
        </w:rPr>
        <w:t xml:space="preserve">31.5</w:t>
      </w:r>
      <w:r>
        <w:rPr>
          <w:rFonts w:hint="eastAsia" w:ascii="宋体" w:hAnsi="宋体" w:cs="宋体"/>
          <w:color w:val="auto"/>
          <w:szCs w:val="21"/>
          <w:highlight w:val="none"/>
        </w:rPr>
        <w:t xml:space="preserve">履约保证金</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无</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    32.依据《政府采购促进中小企业发展管理办法》享受享受扶持政策获得政府采购合同的，小微企业不得将合同分包给大中型企业，中型企业不得将合同分包给大型企业。</w:t>
      </w:r>
      <w:r/>
    </w:p>
    <w:p>
      <w:pPr>
        <w:pStyle w:val="916"/>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16"/>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16"/>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16"/>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709"/>
        <w:rPr>
          <w:rFonts w:ascii="宋体" w:hAnsi="宋体" w:eastAsia="宋体" w:cs="宋体"/>
          <w:color w:val="auto"/>
          <w:highlight w:val="none"/>
        </w:rPr>
      </w:pPr>
      <w:r>
        <w:rPr>
          <w:rFonts w:ascii="宋体" w:hAnsi="宋体" w:eastAsia="宋体" w:cs="宋体"/>
          <w:color w:val="auto"/>
          <w:highlight w:val="none"/>
        </w:rPr>
      </w:r>
      <w:r/>
    </w:p>
    <w:p>
      <w:pPr>
        <w:pStyle w:val="710"/>
        <w:rPr>
          <w:rFonts w:ascii="宋体" w:hAnsi="宋体" w:cs="宋体"/>
          <w:color w:val="auto"/>
          <w:highlight w:val="none"/>
        </w:rPr>
      </w:pPr>
      <w:r>
        <w:rPr>
          <w:rFonts w:ascii="宋体" w:hAnsi="宋体" w:cs="宋体"/>
          <w:color w:val="auto"/>
          <w:highlight w:val="none"/>
        </w:rPr>
      </w:r>
      <w:r/>
    </w:p>
    <w:p>
      <w:pPr>
        <w:pStyle w:val="710"/>
        <w:rPr>
          <w:rFonts w:ascii="宋体" w:hAnsi="宋体" w:cs="宋体"/>
          <w:color w:val="auto"/>
          <w:highlight w:val="none"/>
        </w:rPr>
      </w:pPr>
      <w:r>
        <w:rPr>
          <w:rFonts w:ascii="宋体" w:hAnsi="宋体" w:cs="宋体"/>
          <w:color w:val="auto"/>
          <w:highlight w:val="none"/>
        </w:rPr>
      </w:r>
      <w:r/>
    </w:p>
    <w:p>
      <w:pPr>
        <w:pStyle w:val="710"/>
        <w:rPr>
          <w:rFonts w:ascii="宋体" w:hAnsi="宋体" w:cs="宋体"/>
          <w:color w:val="auto"/>
          <w:highlight w:val="none"/>
        </w:rPr>
      </w:pPr>
      <w:r>
        <w:rPr>
          <w:rFonts w:ascii="宋体" w:hAnsi="宋体" w:cs="宋体"/>
          <w:color w:val="auto"/>
          <w:highlight w:val="none"/>
        </w:rPr>
      </w:r>
      <w:r/>
    </w:p>
    <w:p>
      <w:pPr>
        <w:pStyle w:val="710"/>
        <w:rPr>
          <w:rFonts w:ascii="宋体" w:hAnsi="宋体" w:cs="宋体"/>
          <w:color w:val="auto"/>
          <w:highlight w:val="none"/>
        </w:rPr>
      </w:pPr>
      <w:r>
        <w:rPr>
          <w:rFonts w:ascii="宋体" w:hAnsi="宋体" w:cs="宋体"/>
          <w:color w:val="auto"/>
          <w:highlight w:val="none"/>
        </w:rPr>
      </w:r>
      <w:r/>
    </w:p>
    <w:p>
      <w:pPr>
        <w:pStyle w:val="916"/>
        <w:rPr>
          <w:rFonts w:ascii="宋体" w:hAnsi="宋体" w:eastAsia="宋体" w:cs="宋体"/>
          <w:color w:val="auto"/>
          <w:highlight w:val="none"/>
        </w:rPr>
      </w:pPr>
      <w:r>
        <w:rPr>
          <w:rFonts w:ascii="宋体" w:hAnsi="宋体" w:eastAsia="宋体" w:cs="宋体"/>
          <w:color w:val="auto"/>
          <w:highlight w:val="none"/>
        </w:rPr>
      </w:r>
      <w:r/>
    </w:p>
    <w:p>
      <w:pPr>
        <w:pStyle w:val="917"/>
        <w:rPr>
          <w:rFonts w:ascii="宋体" w:hAnsi="宋体" w:cs="宋体"/>
          <w:color w:val="auto"/>
          <w:highlight w:val="none"/>
        </w:rPr>
      </w:pPr>
      <w:r>
        <w:rPr>
          <w:rFonts w:ascii="宋体" w:hAnsi="宋体" w:cs="宋体"/>
          <w:color w:val="auto"/>
          <w:highlight w:val="none"/>
        </w:rPr>
      </w:r>
      <w:r/>
    </w:p>
    <w:p>
      <w:pPr>
        <w:pStyle w:val="917"/>
        <w:rPr>
          <w:rFonts w:ascii="宋体" w:hAnsi="宋体" w:cs="宋体"/>
          <w:color w:val="auto"/>
          <w:highlight w:val="none"/>
        </w:rPr>
      </w:pPr>
      <w:r>
        <w:rPr>
          <w:rFonts w:ascii="宋体" w:hAnsi="宋体" w:cs="宋体"/>
          <w:color w:val="auto"/>
          <w:highlight w:val="none"/>
        </w:rPr>
      </w:r>
      <w:r/>
    </w:p>
    <w:p>
      <w:pPr>
        <w:pStyle w:val="917"/>
        <w:rPr>
          <w:rFonts w:ascii="宋体" w:hAnsi="宋体" w:cs="宋体"/>
          <w:color w:val="auto"/>
          <w:highlight w:val="none"/>
        </w:rPr>
      </w:pPr>
      <w:r>
        <w:rPr>
          <w:rFonts w:ascii="宋体" w:hAnsi="宋体" w:cs="宋体"/>
          <w:color w:val="auto"/>
          <w:highlight w:val="none"/>
        </w:rPr>
      </w:r>
      <w:r/>
    </w:p>
    <w:p>
      <w:pPr>
        <w:pStyle w:val="917"/>
        <w:rPr>
          <w:rFonts w:ascii="宋体" w:hAnsi="宋体" w:cs="宋体"/>
          <w:color w:val="auto"/>
          <w:highlight w:val="none"/>
        </w:rPr>
      </w:pPr>
      <w:r>
        <w:rPr>
          <w:rFonts w:ascii="宋体" w:hAnsi="宋体" w:cs="宋体"/>
          <w:color w:val="auto"/>
          <w:highlight w:val="none"/>
        </w:rPr>
      </w:r>
      <w:r/>
    </w:p>
    <w:p>
      <w:pPr>
        <w:pStyle w:val="917"/>
        <w:rPr>
          <w:rFonts w:ascii="宋体" w:hAnsi="宋体" w:cs="宋体"/>
          <w:color w:val="auto"/>
          <w:highlight w:val="none"/>
        </w:rPr>
      </w:pPr>
      <w:r>
        <w:rPr>
          <w:rFonts w:ascii="宋体" w:hAnsi="宋体" w:cs="宋体"/>
          <w:color w:val="auto"/>
          <w:highlight w:val="none"/>
        </w:rPr>
      </w:r>
      <w:r/>
    </w:p>
    <w:p>
      <w:pPr>
        <w:pStyle w:val="917"/>
        <w:rPr>
          <w:rFonts w:ascii="宋体" w:hAnsi="宋体" w:cs="宋体"/>
          <w:color w:val="auto"/>
          <w:highlight w:val="none"/>
        </w:rPr>
      </w:pPr>
      <w:r>
        <w:rPr>
          <w:rFonts w:ascii="宋体" w:hAnsi="宋体" w:cs="宋体"/>
          <w:color w:val="auto"/>
          <w:highlight w:val="none"/>
        </w:rPr>
      </w:r>
      <w:r/>
    </w:p>
    <w:p>
      <w:pPr>
        <w:pStyle w:val="907"/>
        <w:spacing w:before="0" w:after="0" w:line="360" w:lineRule="auto"/>
        <w:rPr>
          <w:rFonts w:ascii="宋体" w:hAnsi="宋体" w:cs="宋体"/>
          <w:color w:val="auto"/>
          <w:sz w:val="36"/>
          <w:highlight w:val="none"/>
        </w:rPr>
      </w:pPr>
      <w:r/>
      <w:bookmarkStart w:id="22" w:name="_Toc10833"/>
      <w:r/>
      <w:bookmarkStart w:id="23" w:name="_Toc497145841"/>
      <w:r/>
      <w:bookmarkStart w:id="24" w:name="_Toc11332"/>
      <w:r/>
      <w:r/>
    </w:p>
    <w:p>
      <w:pPr>
        <w:rPr>
          <w:rFonts w:ascii="宋体" w:hAnsi="宋体" w:cs="宋体"/>
          <w:color w:val="auto"/>
          <w:sz w:val="36"/>
          <w:highlight w:val="none"/>
        </w:rPr>
      </w:pPr>
      <w:r>
        <w:rPr>
          <w:rFonts w:ascii="宋体" w:hAnsi="宋体" w:cs="宋体"/>
          <w:color w:val="auto"/>
          <w:sz w:val="36"/>
          <w:highlight w:val="none"/>
        </w:rPr>
      </w:r>
      <w:r/>
    </w:p>
    <w:p>
      <w:pPr>
        <w:rPr>
          <w:rFonts w:ascii="宋体" w:hAnsi="宋体" w:cs="宋体"/>
          <w:color w:val="auto"/>
          <w:sz w:val="36"/>
          <w:highlight w:val="none"/>
        </w:rPr>
      </w:pPr>
      <w:r>
        <w:rPr>
          <w:rFonts w:ascii="宋体" w:hAnsi="宋体" w:cs="宋体"/>
          <w:color w:val="auto"/>
          <w:sz w:val="36"/>
          <w:highlight w:val="none"/>
        </w:rPr>
      </w:r>
      <w:r/>
    </w:p>
    <w:p>
      <w:pPr>
        <w:pStyle w:val="719"/>
        <w:rPr>
          <w:color w:val="auto"/>
          <w:highlight w:val="none"/>
        </w:rPr>
      </w:pPr>
      <w:r>
        <w:rPr>
          <w:color w:val="auto"/>
          <w:highlight w:val="none"/>
        </w:rPr>
      </w:r>
      <w:r/>
    </w:p>
    <w:p>
      <w:pPr>
        <w:pStyle w:val="719"/>
        <w:rPr>
          <w:color w:val="auto"/>
          <w:highlight w:val="none"/>
        </w:rPr>
      </w:pPr>
      <w:r>
        <w:rPr>
          <w:color w:val="auto"/>
          <w:highlight w:val="none"/>
        </w:rPr>
      </w:r>
      <w:r/>
    </w:p>
    <w:p>
      <w:pPr>
        <w:pStyle w:val="907"/>
        <w:numPr>
          <w:ilvl w:val="0"/>
          <w:numId w:val="1"/>
        </w:numPr>
        <w:jc w:val="center"/>
        <w:spacing w:before="0" w:after="0" w:line="360" w:lineRule="auto"/>
        <w:rPr>
          <w:rFonts w:ascii="宋体" w:hAnsi="宋体" w:cs="宋体"/>
          <w:color w:val="auto"/>
          <w:highlight w:val="none"/>
        </w:rPr>
      </w:pPr>
      <w:r>
        <w:rPr>
          <w:rFonts w:hint="eastAsia" w:ascii="宋体" w:hAnsi="宋体" w:cs="宋体"/>
          <w:color w:val="auto"/>
          <w:sz w:val="36"/>
          <w:highlight w:val="none"/>
        </w:rPr>
        <w:t xml:space="preserve">合同条款及格式</w:t>
      </w:r>
      <w:bookmarkEnd w:id="22"/>
      <w:r/>
      <w:bookmarkEnd w:id="23"/>
      <w:r/>
      <w:bookmarkEnd w:id="24"/>
      <w:r/>
      <w:r/>
    </w:p>
    <w:p>
      <w:pPr>
        <w:ind w:firstLine="420"/>
        <w:jc w:val="both"/>
        <w:spacing w:before="120" w:after="120"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以下为成交后签定本项目合同的通用条款，成交供应商不得提出实质性的修改，关于专用条款将由采购人与成交供应商结合本项目具体情况协商后签订。</w:t>
      </w:r>
      <w:r/>
    </w:p>
    <w:p>
      <w:pPr>
        <w:ind w:firstLine="422"/>
        <w:jc w:val="center"/>
        <w:spacing w:before="120" w:after="120"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eastAsia="zh-CN"/>
        </w:rPr>
        <w:t xml:space="preserve">扬州市政府采购合同（服务）（合同编号）</w:t>
      </w:r>
      <w:r/>
    </w:p>
    <w:p>
      <w:pPr>
        <w:ind w:firstLine="420"/>
        <w:jc w:val="both"/>
        <w:spacing w:before="120" w:after="120"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项目名称：</w:t>
      </w:r>
      <w:r>
        <w:rPr>
          <w:rFonts w:hint="eastAsia" w:ascii="宋体" w:hAnsi="宋体" w:eastAsia="宋体" w:cs="宋体"/>
          <w:color w:val="auto"/>
          <w:sz w:val="21"/>
          <w:szCs w:val="21"/>
          <w:highlight w:val="none"/>
          <w:u w:val="single"/>
          <w:lang w:eastAsia="zh-CN"/>
        </w:rPr>
        <w:t xml:space="preserve">双桥街道居家养老政府采购购买服务</w:t>
      </w:r>
      <w:r>
        <w:rPr>
          <w:rFonts w:hint="eastAsia" w:ascii="宋体" w:hAnsi="宋体" w:eastAsia="宋体" w:cs="宋体"/>
          <w:color w:val="auto"/>
          <w:sz w:val="21"/>
          <w:szCs w:val="21"/>
          <w:highlight w:val="none"/>
          <w:lang w:eastAsia="zh-CN"/>
        </w:rPr>
        <w:t xml:space="preserve">          </w:t>
      </w:r>
      <w:r/>
    </w:p>
    <w:p>
      <w:pPr>
        <w:pStyle w:val="714"/>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项目编号：</w:t>
      </w:r>
      <w:r/>
    </w:p>
    <w:p>
      <w:pPr>
        <w:pStyle w:val="714"/>
        <w:ind w:left="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甲方：（买方）扬州市邗江区人民政府</w:t>
      </w:r>
      <w:r>
        <w:rPr>
          <w:rFonts w:hint="eastAsia" w:hAnsi="宋体" w:cs="宋体"/>
          <w:color w:val="auto"/>
          <w:sz w:val="21"/>
          <w:szCs w:val="21"/>
          <w:highlight w:val="none"/>
          <w:lang w:val="en-US" w:eastAsia="zh-CN"/>
        </w:rPr>
        <w:t xml:space="preserve">双桥</w:t>
      </w:r>
      <w:r>
        <w:rPr>
          <w:rFonts w:hint="eastAsia" w:ascii="宋体" w:hAnsi="宋体" w:eastAsia="宋体" w:cs="宋体"/>
          <w:color w:val="auto"/>
          <w:sz w:val="21"/>
          <w:szCs w:val="21"/>
          <w:highlight w:val="none"/>
          <w:lang w:eastAsia="zh-CN"/>
        </w:rPr>
        <w:t xml:space="preserve">街道办事处</w:t>
      </w:r>
      <w:r/>
    </w:p>
    <w:p>
      <w:pPr>
        <w:pStyle w:val="714"/>
        <w:ind w:left="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乙方：（卖方）_________</w:t>
      </w:r>
      <w:r/>
    </w:p>
    <w:p>
      <w:pPr>
        <w:ind w:firstLine="420"/>
        <w:jc w:val="both"/>
        <w:spacing w:before="120" w:after="120"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甲、乙双方根据（</w:t>
      </w:r>
      <w:r>
        <w:rPr>
          <w:rFonts w:hint="eastAsia" w:ascii="宋体" w:hAnsi="宋体" w:cs="宋体"/>
          <w:color w:val="auto"/>
          <w:sz w:val="21"/>
          <w:szCs w:val="21"/>
          <w:highlight w:val="none"/>
          <w:lang w:eastAsia="zh-CN"/>
        </w:rPr>
        <w:t xml:space="preserve">江苏汇诚投资咨询管理有限公司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eastAsia="zh-CN"/>
        </w:rPr>
        <w:t xml:space="preserve">双桥街道居家养老政府采购购买服务</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项目</w:t>
      </w:r>
      <w:r>
        <w:rPr>
          <w:rFonts w:hint="eastAsia" w:ascii="宋体" w:hAnsi="宋体" w:eastAsia="宋体" w:cs="宋体"/>
          <w:color w:val="auto"/>
          <w:sz w:val="21"/>
          <w:szCs w:val="21"/>
          <w:highlight w:val="none"/>
          <w:lang w:eastAsia="zh-CN"/>
        </w:rPr>
        <w:t xml:space="preserve">竞争性磋商的结果，签署本合同。</w:t>
      </w:r>
      <w:r/>
    </w:p>
    <w:p>
      <w:pPr>
        <w:pStyle w:val="919"/>
        <w:ind w:firstLine="422"/>
        <w:keepLines w:val="0"/>
        <w:keepNext w:val="0"/>
        <w:pageBreakBefore w:val="0"/>
        <w:spacing w:line="440" w:lineRule="exact"/>
        <w:widowControl w:val="off"/>
        <w:rPr>
          <w:rFonts w:hint="eastAsia" w:hAnsi="宋体" w:cs="宋体"/>
          <w:b/>
          <w:bCs/>
          <w:color w:val="000000"/>
          <w:sz w:val="21"/>
          <w:szCs w:val="21"/>
          <w:highlight w:val="none"/>
        </w:rPr>
      </w:pPr>
      <w:r>
        <w:rPr>
          <w:rFonts w:hint="eastAsia" w:hAnsi="宋体" w:cs="宋体"/>
          <w:b/>
          <w:bCs/>
          <w:color w:val="000000"/>
          <w:sz w:val="21"/>
          <w:szCs w:val="21"/>
          <w:highlight w:val="none"/>
        </w:rPr>
        <w:t xml:space="preserve">一、服务及产品内容</w:t>
      </w:r>
      <w:r/>
    </w:p>
    <w:p>
      <w:pPr>
        <w:pStyle w:val="919"/>
        <w:ind w:firstLine="420"/>
        <w:keepLines w:val="0"/>
        <w:keepNext w:val="0"/>
        <w:pageBreakBefore w:val="0"/>
        <w:spacing w:line="440" w:lineRule="exact"/>
        <w:widowControl w:val="off"/>
        <w:rPr>
          <w:rFonts w:hint="eastAsia" w:hAnsi="宋体" w:cs="宋体"/>
          <w:color w:val="000000"/>
          <w:sz w:val="21"/>
          <w:szCs w:val="21"/>
          <w:highlight w:val="none"/>
        </w:rPr>
      </w:pPr>
      <w:r>
        <w:rPr>
          <w:rFonts w:hint="eastAsia" w:hAnsi="宋体" w:cs="宋体"/>
          <w:color w:val="000000"/>
          <w:sz w:val="21"/>
          <w:szCs w:val="21"/>
          <w:highlight w:val="none"/>
        </w:rPr>
        <w:t xml:space="preserve">1.1 项目（产品）名称：</w:t>
      </w:r>
      <w:r/>
    </w:p>
    <w:p>
      <w:pPr>
        <w:pStyle w:val="919"/>
        <w:ind w:firstLine="420"/>
        <w:keepLines w:val="0"/>
        <w:keepNext w:val="0"/>
        <w:pageBreakBefore w:val="0"/>
        <w:spacing w:line="440" w:lineRule="exact"/>
        <w:widowControl w:val="off"/>
        <w:rPr>
          <w:rFonts w:hint="eastAsia" w:hAnsi="宋体" w:cs="宋体"/>
          <w:color w:val="000000"/>
          <w:sz w:val="21"/>
          <w:szCs w:val="21"/>
          <w:highlight w:val="none"/>
        </w:rPr>
      </w:pPr>
      <w:r>
        <w:rPr>
          <w:rFonts w:hint="eastAsia" w:hAnsi="宋体" w:cs="宋体"/>
          <w:color w:val="000000"/>
          <w:sz w:val="21"/>
          <w:szCs w:val="21"/>
          <w:highlight w:val="none"/>
        </w:rPr>
        <w:t xml:space="preserve">1.2 项目服务内容：</w:t>
      </w:r>
      <w:r/>
    </w:p>
    <w:p>
      <w:pPr>
        <w:pStyle w:val="919"/>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二、合同金额</w:t>
      </w:r>
      <w:r/>
    </w:p>
    <w:p>
      <w:pPr>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w:t>
      </w:r>
      <w:r>
        <w:rPr>
          <w:rFonts w:hint="eastAsia" w:ascii="宋体" w:hAnsi="宋体" w:eastAsia="宋体" w:cs="宋体"/>
          <w:color w:val="000000"/>
          <w:spacing w:val="-5"/>
          <w:sz w:val="21"/>
          <w:szCs w:val="21"/>
          <w:highlight w:val="none"/>
        </w:rPr>
        <w:t xml:space="preserve">本合同为</w:t>
      </w:r>
      <w:r>
        <w:rPr>
          <w:rFonts w:hint="eastAsia" w:ascii="宋体" w:hAnsi="宋体" w:eastAsia="宋体" w:cs="宋体"/>
          <w:color w:val="000000"/>
          <w:spacing w:val="-5"/>
          <w:sz w:val="21"/>
          <w:szCs w:val="21"/>
          <w:highlight w:val="none"/>
          <w:u w:val="single"/>
        </w:rPr>
        <w:t xml:space="preserve">固定单价</w:t>
      </w:r>
      <w:r>
        <w:rPr>
          <w:rFonts w:hint="eastAsia" w:ascii="宋体" w:hAnsi="宋体" w:eastAsia="宋体" w:cs="宋体"/>
          <w:color w:val="000000"/>
          <w:spacing w:val="-5"/>
          <w:sz w:val="21"/>
          <w:szCs w:val="21"/>
          <w:highlight w:val="none"/>
        </w:rPr>
        <w:t xml:space="preserve">合同，单价金额为(大写) </w:t>
      </w:r>
      <w:r>
        <w:rPr>
          <w:rFonts w:hint="eastAsia" w:ascii="宋体" w:hAnsi="宋体" w:eastAsia="宋体" w:cs="宋体"/>
          <w:color w:val="000000"/>
          <w:spacing w:val="-5"/>
          <w:sz w:val="21"/>
          <w:szCs w:val="21"/>
          <w:highlight w:val="none"/>
          <w:u w:val="single"/>
        </w:rPr>
        <w:t xml:space="preserve">：   人民币/小时</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pacing w:val="-5"/>
          <w:sz w:val="21"/>
          <w:szCs w:val="21"/>
          <w:highlight w:val="none"/>
          <w:u w:val="single"/>
        </w:rPr>
        <w:t xml:space="preserve">   .00 </w:t>
      </w:r>
      <w:r>
        <w:rPr>
          <w:rFonts w:hint="eastAsia" w:ascii="宋体" w:hAnsi="宋体" w:eastAsia="宋体" w:cs="宋体"/>
          <w:color w:val="000000"/>
          <w:spacing w:val="-5"/>
          <w:sz w:val="21"/>
          <w:szCs w:val="21"/>
          <w:highlight w:val="none"/>
        </w:rPr>
        <w:t xml:space="preserve">元/小时)；</w:t>
      </w:r>
      <w:r>
        <w:rPr>
          <w:rFonts w:hint="eastAsia" w:ascii="宋体" w:hAnsi="宋体" w:eastAsia="宋体" w:cs="宋体"/>
          <w:color w:val="000000"/>
          <w:sz w:val="21"/>
          <w:szCs w:val="21"/>
          <w:highlight w:val="none"/>
          <w:lang w:val="zh-CN"/>
        </w:rPr>
        <w:t xml:space="preserve">最终根据供应商的成交单价和实际服务老人人数（老人名单由甲方提供）按实结算。</w:t>
      </w:r>
      <w:r/>
    </w:p>
    <w:p>
      <w:pPr>
        <w:ind w:firstLine="404"/>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2.2 本合同总金额包括乙方提</w:t>
      </w:r>
      <w:r>
        <w:rPr>
          <w:rFonts w:hint="eastAsia" w:ascii="宋体" w:hAnsi="宋体" w:eastAsia="宋体" w:cs="宋体"/>
          <w:color w:val="000000"/>
          <w:spacing w:val="-2"/>
          <w:sz w:val="21"/>
          <w:szCs w:val="21"/>
          <w:highlight w:val="none"/>
        </w:rPr>
        <w:t xml:space="preserve">供的服务及其他有关的为完成本项目发生的所有费用，竞争性磋商文件中另有规定的除外</w:t>
      </w:r>
      <w:r>
        <w:rPr>
          <w:rFonts w:hint="eastAsia" w:ascii="宋体" w:hAnsi="宋体" w:eastAsia="宋体" w:cs="宋体"/>
          <w:color w:val="000000"/>
          <w:spacing w:val="-1"/>
          <w:sz w:val="21"/>
          <w:szCs w:val="21"/>
          <w:highlight w:val="none"/>
        </w:rPr>
        <w:t xml:space="preserve">。</w:t>
      </w:r>
      <w:r/>
    </w:p>
    <w:p>
      <w:pPr>
        <w:ind w:firstLine="396"/>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2.3 在竞</w:t>
      </w:r>
      <w:r>
        <w:rPr>
          <w:rFonts w:hint="eastAsia" w:ascii="宋体" w:hAnsi="宋体" w:eastAsia="宋体" w:cs="宋体"/>
          <w:color w:val="000000"/>
          <w:spacing w:val="-3"/>
          <w:sz w:val="21"/>
          <w:szCs w:val="21"/>
          <w:highlight w:val="none"/>
        </w:rPr>
        <w:t xml:space="preserve">争性磋商文件未列明，而乙方认为履行本合同必需的费用也包含在合同总金额中。</w:t>
      </w:r>
      <w:r/>
    </w:p>
    <w:p>
      <w:pPr>
        <w:pStyle w:val="919"/>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三、技术资料</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3.1乙方应按采购文件规定的时间向甲方提供使用服务或产品的有关技术资料。</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9"/>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四、知识产权</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19"/>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五、产权担保</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乙方保证所交付的服务或产品的所有权完全属于乙方且无任何抵押、查封等产权瑕疵。</w:t>
      </w:r>
      <w:r/>
    </w:p>
    <w:p>
      <w:pPr>
        <w:pStyle w:val="919"/>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六、履约保证金</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 收取履约保证金的，允许成交单位自主选择支票、汇票、本票、保函等非现金形式缴纳或提交，应当在采购合同中约定履约保证金退还的方式、时间、条件和不予退还的情形，明确逾期退还履约保证金的违约责任。</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 履约保证金扣除甲方应得的补偿后的余额，在本合同履行结束后由甲方无息退还。 </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 履约保证收取：</w:t>
      </w:r>
      <w:r>
        <w:rPr>
          <w:rFonts w:hint="eastAsia" w:ascii="宋体" w:hAnsi="宋体" w:eastAsia="宋体" w:cs="宋体"/>
          <w:color w:val="000000"/>
          <w:sz w:val="21"/>
          <w:szCs w:val="21"/>
          <w:highlight w:val="none"/>
          <w:u w:val="single"/>
        </w:rPr>
        <w:t xml:space="preserve">无</w:t>
      </w:r>
      <w:r/>
    </w:p>
    <w:p>
      <w:pPr>
        <w:pStyle w:val="919"/>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七、转包或分包</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7.1本合同范围的服务或产品，应由乙方直接供应，不得转让他人供应；</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除非得到甲方的书面同意，乙方不得部分分包给他人供应。</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7.3如有转让和未经甲方同意的分包行为，甲方有权给予终止合同。</w:t>
      </w:r>
      <w:r/>
    </w:p>
    <w:p>
      <w:pPr>
        <w:pStyle w:val="919"/>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w:t>
      </w:r>
      <w:r>
        <w:rPr>
          <w:rFonts w:hint="eastAsia" w:ascii="宋体" w:hAnsi="宋体" w:eastAsia="宋体" w:cs="宋体"/>
          <w:b/>
          <w:bCs/>
          <w:color w:val="000000"/>
          <w:sz w:val="21"/>
          <w:szCs w:val="21"/>
          <w:highlight w:val="none"/>
          <w:lang w:val="en-US" w:eastAsia="zh-CN"/>
        </w:rPr>
        <w:t xml:space="preserve">服务</w:t>
      </w:r>
      <w:r>
        <w:rPr>
          <w:rFonts w:hint="eastAsia" w:ascii="宋体" w:hAnsi="宋体" w:eastAsia="宋体" w:cs="宋体"/>
          <w:b/>
          <w:bCs/>
          <w:color w:val="000000"/>
          <w:sz w:val="21"/>
          <w:szCs w:val="21"/>
          <w:highlight w:val="none"/>
        </w:rPr>
        <w:t xml:space="preserve">期</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 </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期</w:t>
      </w:r>
      <w:r>
        <w:rPr>
          <w:rFonts w:hint="eastAsia" w:ascii="宋体" w:hAnsi="宋体" w:eastAsia="宋体" w:cs="宋体"/>
          <w:color w:val="000000"/>
          <w:sz w:val="21"/>
          <w:szCs w:val="21"/>
          <w:highlight w:val="none"/>
          <w:u w:val="single"/>
        </w:rPr>
        <w:t xml:space="preserve"> </w:t>
      </w:r>
      <w:r>
        <w:rPr>
          <w:rFonts w:hint="eastAsia" w:hAnsi="宋体" w:cs="宋体"/>
          <w:color w:val="000000"/>
          <w:sz w:val="21"/>
          <w:szCs w:val="21"/>
          <w:highlight w:val="none"/>
          <w:u w:val="single"/>
          <w:lang w:val="en-US" w:eastAsia="zh-CN"/>
        </w:rPr>
        <w:t xml:space="preserve">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eastAsia="zh-CN"/>
        </w:rPr>
        <w:t xml:space="preserve">自签订合同之日起计</w:t>
      </w:r>
      <w:r>
        <w:rPr>
          <w:rFonts w:hint="eastAsia" w:ascii="宋体" w:hAnsi="宋体" w:eastAsia="宋体" w:cs="宋体"/>
          <w:color w:val="000000"/>
          <w:sz w:val="21"/>
          <w:szCs w:val="21"/>
          <w:highlight w:val="none"/>
        </w:rPr>
        <w:t xml:space="preserve">）</w:t>
      </w:r>
      <w:r/>
    </w:p>
    <w:p>
      <w:pPr>
        <w:pStyle w:val="919"/>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九、交付期、交付方式及交付地点</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 交付期：_________</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 交付方式：_________</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 交付地点：_________</w:t>
      </w:r>
      <w:r/>
    </w:p>
    <w:p>
      <w:pPr>
        <w:pStyle w:val="919"/>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十、货款支付</w:t>
      </w:r>
      <w:r/>
    </w:p>
    <w:p>
      <w:pPr>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 本合同项下所有款项均以人民币支付。 </w:t>
      </w:r>
      <w:r/>
    </w:p>
    <w:p>
      <w:pPr>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 本合同项下的采购资金由甲方支付，付款前乙方向甲方开具发票。</w:t>
      </w:r>
      <w:r/>
    </w:p>
    <w:p>
      <w:pPr>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 甲方付款方式：</w:t>
      </w:r>
      <w:r/>
    </w:p>
    <w:p>
      <w:pPr>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合同签订后，甲方收到乙方开具的发票后10个工作日内支付年度合同价的30%作为预付款。剩余合同款依据考核结果按季度付款，每季度第一个月5号之前，由乙方提交上季度的申请付款材料，甲方在当月25号之前完成审核，满足合同约定支付条件时，乙方应按合同约定金额开具发票，甲方收到乙方开具的发票后10个工作日内支付。（所有付款须满足市、区民政局要求，根据实际考核情况，待资金下拨到政府后依据采购人付款流程及时结算，每季度进行付款时从预付款中抵扣）。</w:t>
      </w:r>
      <w:r/>
    </w:p>
    <w:p>
      <w:pPr>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10.4</w:t>
      </w:r>
      <w:r>
        <w:rPr>
          <w:rFonts w:hint="eastAsia" w:ascii="宋体" w:hAnsi="宋体" w:eastAsia="宋体" w:cs="宋体"/>
          <w:color w:val="000000"/>
          <w:sz w:val="21"/>
          <w:szCs w:val="21"/>
          <w:highlight w:val="none"/>
          <w:lang w:val="zh-CN"/>
        </w:rPr>
        <w:t xml:space="preserve">考核办法：</w:t>
      </w:r>
      <w:r/>
    </w:p>
    <w:p>
      <w:pPr>
        <w:ind w:firstLine="420"/>
        <w:keepLines w:val="0"/>
        <w:keepNext w:val="0"/>
        <w:pageBreakBefore w:val="0"/>
        <w:spacing w:line="420" w:lineRule="exact"/>
        <w:widowControl w:val="off"/>
        <w:rPr>
          <w:rFonts w:hint="eastAsia" w:ascii="宋体" w:hAnsi="宋体" w:eastAsia="宋体" w:cs="宋体"/>
          <w:color w:val="000000"/>
          <w:sz w:val="21"/>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val="zh-CN"/>
        </w:rPr>
        <w:t xml:space="preserve">根据</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zh-CN"/>
        </w:rPr>
        <w:t xml:space="preserve">运营管理情况每季度对</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zh-CN"/>
        </w:rPr>
        <w:t xml:space="preserve">考核一次，考核办法由</w:t>
      </w: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val="zh-CN"/>
        </w:rPr>
        <w:t xml:space="preserve">与</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zh-CN"/>
        </w:rPr>
        <w:t xml:space="preserve">根据</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val="zh-CN"/>
        </w:rPr>
        <w:t xml:space="preserve">文件及</w:t>
      </w:r>
      <w:r>
        <w:rPr>
          <w:rFonts w:hint="eastAsia" w:ascii="宋体" w:hAnsi="宋体" w:eastAsia="宋体" w:cs="宋体"/>
          <w:color w:val="000000"/>
          <w:sz w:val="21"/>
          <w:szCs w:val="21"/>
          <w:highlight w:val="none"/>
        </w:rPr>
        <w:t xml:space="preserve">成交</w:t>
      </w:r>
      <w:r>
        <w:rPr>
          <w:rFonts w:hint="eastAsia" w:ascii="宋体" w:hAnsi="宋体" w:eastAsia="宋体" w:cs="宋体"/>
          <w:color w:val="000000"/>
          <w:sz w:val="21"/>
          <w:szCs w:val="21"/>
          <w:highlight w:val="none"/>
          <w:lang w:val="zh-CN"/>
        </w:rPr>
        <w:t xml:space="preserve">后的</w:t>
      </w:r>
      <w:r>
        <w:rPr>
          <w:rFonts w:hint="eastAsia" w:ascii="宋体" w:hAnsi="宋体" w:eastAsia="宋体" w:cs="宋体"/>
          <w:color w:val="000000"/>
          <w:sz w:val="21"/>
          <w:szCs w:val="21"/>
          <w:highlight w:val="none"/>
        </w:rPr>
        <w:t xml:space="preserve">响应</w:t>
      </w:r>
      <w:r>
        <w:rPr>
          <w:rFonts w:hint="eastAsia" w:ascii="宋体" w:hAnsi="宋体" w:eastAsia="宋体" w:cs="宋体"/>
          <w:color w:val="000000"/>
          <w:sz w:val="21"/>
          <w:szCs w:val="21"/>
          <w:highlight w:val="none"/>
          <w:lang w:val="zh-CN"/>
        </w:rPr>
        <w:t xml:space="preserve">文件商榷后制定，考核情况与运营费用给付挂钩，考核连续两次不达标，终止</w:t>
      </w:r>
      <w:r>
        <w:rPr>
          <w:rFonts w:hint="eastAsia" w:ascii="宋体" w:hAnsi="宋体" w:cs="宋体"/>
          <w:color w:val="000000"/>
          <w:sz w:val="21"/>
          <w:szCs w:val="21"/>
          <w:highlight w:val="none"/>
          <w:lang w:val="en-US" w:eastAsia="zh-CN"/>
        </w:rPr>
        <w:t xml:space="preserve">合同</w:t>
      </w:r>
      <w:r>
        <w:rPr>
          <w:rFonts w:hint="eastAsia" w:ascii="宋体" w:hAnsi="宋体" w:eastAsia="宋体" w:cs="宋体"/>
          <w:color w:val="000000"/>
          <w:sz w:val="21"/>
          <w:szCs w:val="21"/>
          <w:highlight w:val="none"/>
          <w:lang w:val="zh-CN"/>
        </w:rPr>
        <w:t xml:space="preserve">。</w:t>
      </w:r>
      <w:r/>
    </w:p>
    <w:p>
      <w:pPr>
        <w:ind w:firstLine="420"/>
        <w:keepLines w:val="0"/>
        <w:keepNext w:val="0"/>
        <w:pageBreakBefore w:val="0"/>
        <w:spacing w:line="420" w:lineRule="exact"/>
        <w:widowControl w:val="off"/>
        <w:rPr>
          <w:rFonts w:hint="eastAsia" w:ascii="宋体" w:hAnsi="宋体" w:eastAsia="宋体" w:cs="宋体"/>
          <w:bCs/>
          <w:color w:val="000000"/>
          <w:sz w:val="21"/>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zh-CN"/>
        </w:rPr>
        <w:t xml:space="preserve">）每季度区级统一监管平台进行一次线下服务对象满意度调查，</w:t>
      </w:r>
      <w:r>
        <w:rPr>
          <w:rFonts w:hint="eastAsia" w:ascii="宋体" w:hAnsi="宋体" w:eastAsia="宋体" w:cs="宋体"/>
          <w:bCs/>
          <w:color w:val="000000"/>
          <w:sz w:val="21"/>
          <w:szCs w:val="21"/>
          <w:highlight w:val="none"/>
        </w:rPr>
        <w:t xml:space="preserve">甲方</w:t>
      </w:r>
      <w:r>
        <w:rPr>
          <w:rFonts w:hint="eastAsia" w:ascii="宋体" w:hAnsi="宋体" w:eastAsia="宋体" w:cs="宋体"/>
          <w:bCs/>
          <w:color w:val="000000"/>
          <w:sz w:val="21"/>
          <w:szCs w:val="21"/>
          <w:highlight w:val="none"/>
          <w:lang w:val="zh-CN"/>
        </w:rPr>
        <w:t xml:space="preserve">将区平台回访和满意度调查结果纳入对服务商的考核范畴内，确保服务行为规范、有序、务实、高效,维护广大老年人的权益。</w:t>
      </w:r>
      <w:r/>
    </w:p>
    <w:p>
      <w:pPr>
        <w:pStyle w:val="916"/>
        <w:ind w:firstLine="420"/>
        <w:keepLines w:val="0"/>
        <w:keepNext w:val="0"/>
        <w:pageBreakBefore w:val="0"/>
        <w:spacing w:after="0" w:line="42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（3）乙方</w:t>
      </w:r>
      <w:r>
        <w:rPr>
          <w:rFonts w:hint="eastAsia" w:ascii="宋体" w:hAnsi="宋体" w:eastAsia="宋体" w:cs="宋体"/>
          <w:color w:val="000000"/>
          <w:sz w:val="21"/>
          <w:szCs w:val="21"/>
          <w:highlight w:val="none"/>
          <w:lang w:val="zh-TW" w:eastAsia="zh-CN" w:bidi="ar-SA"/>
        </w:rPr>
        <w:t xml:space="preserve">如有工作人员在服务过程中，存在刷单行为。所刷工单，甲方一经发现，将全部予以作废，并对所发现的刷单行为，每单处以</w:t>
      </w:r>
      <w:r>
        <w:rPr>
          <w:rFonts w:hint="eastAsia" w:ascii="宋体" w:hAnsi="宋体" w:cs="宋体"/>
          <w:color w:val="000000"/>
          <w:sz w:val="21"/>
          <w:szCs w:val="21"/>
          <w:highlight w:val="none"/>
          <w:lang w:val="en-US" w:eastAsia="zh-CN" w:bidi="ar-SA"/>
        </w:rPr>
        <w:t xml:space="preserve">当期应付款总额</w:t>
      </w:r>
      <w:r>
        <w:rPr>
          <w:rFonts w:hint="eastAsia" w:ascii="宋体" w:hAnsi="宋体" w:eastAsia="宋体" w:cs="宋体"/>
          <w:color w:val="000000"/>
          <w:sz w:val="21"/>
          <w:szCs w:val="21"/>
          <w:highlight w:val="none"/>
          <w:lang w:val="en-US" w:eastAsia="zh-CN" w:bidi="ar-SA"/>
        </w:rPr>
        <w:t xml:space="preserve">的</w:t>
      </w:r>
      <w:r>
        <w:rPr>
          <w:rFonts w:hint="eastAsia" w:ascii="宋体" w:hAnsi="宋体" w:cs="宋体"/>
          <w:color w:val="000000"/>
          <w:sz w:val="21"/>
          <w:szCs w:val="21"/>
          <w:highlight w:val="none"/>
          <w:lang w:val="en-US" w:eastAsia="zh-CN" w:bidi="ar-SA"/>
        </w:rPr>
        <w:t xml:space="preserve">0.2%</w:t>
      </w:r>
      <w:r>
        <w:rPr>
          <w:rFonts w:hint="eastAsia" w:ascii="宋体" w:hAnsi="宋体" w:eastAsia="宋体" w:cs="宋体"/>
          <w:color w:val="000000"/>
          <w:sz w:val="21"/>
          <w:szCs w:val="21"/>
          <w:highlight w:val="none"/>
          <w:lang w:val="en-US" w:eastAsia="zh-CN" w:bidi="ar-SA"/>
        </w:rPr>
        <w:t xml:space="preserve">资金处罚</w:t>
      </w:r>
      <w:r>
        <w:rPr>
          <w:rFonts w:hint="eastAsia" w:ascii="宋体" w:hAnsi="宋体" w:eastAsia="宋体" w:cs="宋体"/>
          <w:color w:val="000000"/>
          <w:sz w:val="21"/>
          <w:szCs w:val="21"/>
          <w:highlight w:val="none"/>
          <w:lang w:val="en-US" w:eastAsia="zh-CN" w:bidi="zh-TW"/>
        </w:rPr>
        <w:t xml:space="preserve">。</w:t>
      </w:r>
      <w:r/>
    </w:p>
    <w:p>
      <w:pPr>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十一、税</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11.1本合同执行中相关的一切税费均由乙方负担。</w:t>
      </w:r>
      <w:r/>
    </w:p>
    <w:p>
      <w:pPr>
        <w:pStyle w:val="919"/>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十二、质量保证及售后服务</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乙方应按采购文件规定的服务或产品性能、技术要求、质量标准向甲方提供。</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⑴更换：由乙方承担所发生的全部费用。</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⑵贬值处理：由甲乙双方合议定价。</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⑶退还处理：乙方应退还甲方支付的合同款，同时应承担该服务或产品的直接费用（运输、保险、检验、款项利息及银行手续费等）。</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 如在使用过程中发生质量问题，乙方在接到甲方通知后在______小时内到达甲方现场。</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在质保期内，乙方应对服务或产品出现的质量及安全问题负责处理解决并承担一切费用。</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12.5上述的服务或产品免费保修期为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年，因人为因素出现的故障不在免费保修范围内。超过保修期的机器设备，终生维修，维修时只收部件成本费。</w:t>
      </w:r>
      <w:r/>
    </w:p>
    <w:p>
      <w:pPr>
        <w:pStyle w:val="919"/>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十三、调试和验收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如有</w:t>
      </w:r>
      <w:r>
        <w:rPr>
          <w:rFonts w:hint="eastAsia" w:ascii="宋体" w:hAnsi="宋体" w:eastAsia="宋体" w:cs="宋体"/>
          <w:b/>
          <w:bCs/>
          <w:color w:val="000000"/>
          <w:sz w:val="21"/>
          <w:szCs w:val="21"/>
          <w:highlight w:val="none"/>
          <w:lang w:eastAsia="zh-CN"/>
        </w:rPr>
        <w:t xml:space="preserve">）</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乙方交付前应对服务或产品作出全面检查和对验收文件进行整理，并列出清单，作为甲方交付验收和使用的技术条件依据，检验的结果应随服务或产品交甲方。</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甲方对乙方提供的服务或产品在使用前进行调试时，乙方需负责安装并培训甲方的使用操作人员，并协助甲方一起调试，直到符合技术要求，甲方才做最终验收。</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 对技术复杂的服务或产品，甲方可请国家认可的专业检测机构参与初步验收及最终验收，并由其出具质量检测报告。</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 验收时乙方必须在现场，验收完毕后作出验收结果报告；验收费用由甲乙双方协商解决。</w:t>
      </w:r>
      <w:r/>
    </w:p>
    <w:p>
      <w:pPr>
        <w:pStyle w:val="919"/>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十四、服务或产品包装、发运及运输</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如有</w:t>
      </w:r>
      <w:r>
        <w:rPr>
          <w:rFonts w:hint="eastAsia" w:ascii="宋体" w:hAnsi="宋体" w:eastAsia="宋体" w:cs="宋体"/>
          <w:b/>
          <w:bCs/>
          <w:color w:val="000000"/>
          <w:sz w:val="21"/>
          <w:szCs w:val="21"/>
          <w:highlight w:val="none"/>
          <w:lang w:eastAsia="zh-CN"/>
        </w:rPr>
        <w:t xml:space="preserve">）</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乙方应在服务或产品发运前对其进行满足运输距离、防潮、防震、防锈和防破损装卸等要求包装，以保证服务或产品安全运达甲方指定地点。</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使用说明书、质量检验证明书、随配附件和工具以及清单一并交付甲方。</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 乙方在服务或产品发运手续办理完毕后24小时内或交付到甲方48小时前通知甲方，以准备接受交付。</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 服务在交付甲方前发生的风险均由乙方负责。</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14.5 服务或产品在规定的交付期限内由乙方送达甲方指定的地点视为交付，乙方同时需通知甲方服务或产品已送达。</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十五、违约责任</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甲方无正当理由拒收服务或产品的，甲方向乙方偿付拒收款项总值的百分之五违约金。</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 甲方无故逾期验收和办理款项支付手续的,甲方应按逾期付款总额每日万分之五向乙方支付违约金。</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919"/>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十六、不可抗力事件处理</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在合同有效期内，任何一方因不可抗力事件导致不能履行合同，则合同履行期可延长，其延长期与不可抗力影响期相同。</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不可抗力事件发生后，应立即通知对方，并寄送有关权威机构出具的证明。</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不可抗力事件延续120天以上，双方应通过友好协商，确定是否继续履行合同。</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rPr>
        <w:t xml:space="preserve">16.</w:t>
      </w:r>
      <w:r>
        <w:rPr>
          <w:rFonts w:hint="eastAsia" w:hAnsi="宋体" w:cs="宋体"/>
          <w:color w:val="000000"/>
          <w:sz w:val="21"/>
          <w:szCs w:val="21"/>
          <w:highlight w:val="none"/>
          <w:lang w:val="en-US" w:eastAsia="zh-CN"/>
        </w:rPr>
        <w:t xml:space="preserve">4 </w:t>
      </w:r>
      <w:r>
        <w:rPr>
          <w:rFonts w:hint="eastAsia" w:ascii="宋体" w:hAnsi="宋体" w:eastAsia="宋体" w:cs="宋体"/>
          <w:color w:val="000000"/>
          <w:sz w:val="21"/>
          <w:szCs w:val="21"/>
          <w:highlight w:val="none"/>
        </w:rPr>
        <w:t xml:space="preserve">在合同有效期内，</w:t>
      </w:r>
      <w:r>
        <w:rPr>
          <w:rFonts w:hint="eastAsia" w:hAnsi="宋体" w:cs="宋体"/>
          <w:color w:val="000000"/>
          <w:sz w:val="21"/>
          <w:szCs w:val="21"/>
          <w:highlight w:val="none"/>
          <w:lang w:eastAsia="zh-CN"/>
        </w:rPr>
        <w:t xml:space="preserve">如因上级部门政策调整，导</w:t>
      </w:r>
      <w:r>
        <w:rPr>
          <w:rFonts w:hint="eastAsia" w:hAnsi="宋体" w:cs="宋体"/>
          <w:color w:val="000000"/>
          <w:sz w:val="21"/>
          <w:szCs w:val="21"/>
          <w:highlight w:val="none"/>
          <w:u w:val="none"/>
          <w:lang w:eastAsia="zh-CN"/>
        </w:rPr>
        <w:t xml:space="preserve">致</w:t>
      </w:r>
      <w:r>
        <w:rPr>
          <w:rFonts w:hint="eastAsia" w:ascii="宋体" w:hAnsi="宋体" w:cs="宋体"/>
          <w:color w:val="000000"/>
          <w:szCs w:val="21"/>
          <w:highlight w:val="none"/>
          <w:u w:val="none"/>
        </w:rPr>
        <w:t xml:space="preserve">居家养老政府采购购买</w:t>
      </w:r>
      <w:r>
        <w:rPr>
          <w:rFonts w:hint="eastAsia" w:hAnsi="宋体" w:cs="宋体"/>
          <w:color w:val="000000"/>
          <w:szCs w:val="21"/>
          <w:highlight w:val="none"/>
          <w:u w:val="none"/>
          <w:lang w:eastAsia="zh-CN"/>
        </w:rPr>
        <w:t xml:space="preserve">政策终止的，甲方有权终止合同。</w:t>
      </w:r>
      <w:r/>
    </w:p>
    <w:p>
      <w:pPr>
        <w:pStyle w:val="919"/>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十七、诉讼</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十八、</w:t>
      </w:r>
      <w:r>
        <w:rPr>
          <w:rFonts w:hint="eastAsia" w:ascii="宋体" w:hAnsi="宋体" w:eastAsia="宋体" w:cs="宋体"/>
          <w:color w:val="000000"/>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919"/>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十九、合同生效及其它</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 合同经双方法定代表人签章并加盖单位公章，并经</w:t>
      </w:r>
      <w:r>
        <w:rPr>
          <w:rFonts w:hint="eastAsia" w:ascii="宋体" w:hAnsi="宋体" w:eastAsia="宋体" w:cs="宋体"/>
          <w:color w:val="000000"/>
          <w:sz w:val="21"/>
          <w:szCs w:val="21"/>
          <w:highlight w:val="none"/>
          <w:lang w:eastAsia="zh-CN"/>
        </w:rPr>
        <w:t xml:space="preserve">江苏汇诚投资咨询管理有限公司</w:t>
      </w:r>
      <w:r>
        <w:rPr>
          <w:rFonts w:hint="eastAsia" w:ascii="宋体" w:hAnsi="宋体" w:eastAsia="宋体" w:cs="宋体"/>
          <w:color w:val="000000"/>
          <w:sz w:val="21"/>
          <w:szCs w:val="21"/>
          <w:highlight w:val="none"/>
        </w:rPr>
        <w:t xml:space="preserve">见证盖章后生效。</w:t>
      </w:r>
      <w:r/>
    </w:p>
    <w:p>
      <w:pPr>
        <w:pStyle w:val="919"/>
        <w:ind w:firstLine="420"/>
        <w:keepLines w:val="0"/>
        <w:keepNext w:val="0"/>
        <w:pageBreakBefore w:val="0"/>
        <w:spacing w:line="4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19.2本合同未尽事宜，遵照《民法典》有关条文执行。</w:t>
      </w:r>
      <w:r/>
    </w:p>
    <w:p>
      <w:pPr>
        <w:ind w:firstLine="420"/>
        <w:jc w:val="both"/>
        <w:spacing w:before="120" w:after="120"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19.3 本合同正本一式六份，具有同等法律效力，甲方、乙方、见证方各执二份。  </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00"/>
        <w:gridCol w:w="3922"/>
      </w:tblGrid>
      <w:tr>
        <w:trPr>
          <w:trHeight w:val="58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4" w:type="dxa"/>
            <w:textDirection w:val="lrTb"/>
            <w:noWrap w:val="false"/>
          </w:tcPr>
          <w:p>
            <w:pPr>
              <w:jc w:val="both"/>
              <w:spacing w:before="120" w:after="120"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甲方：扬州市邗江区人民政府</w:t>
            </w:r>
            <w:r>
              <w:rPr>
                <w:rFonts w:hint="eastAsia" w:ascii="宋体" w:hAnsi="宋体" w:cs="宋体"/>
                <w:color w:val="auto"/>
                <w:sz w:val="21"/>
                <w:szCs w:val="21"/>
                <w:highlight w:val="none"/>
                <w:lang w:val="en-US" w:eastAsia="zh-CN"/>
              </w:rPr>
              <w:t xml:space="preserve">双桥</w:t>
            </w:r>
            <w:r>
              <w:rPr>
                <w:rFonts w:hint="eastAsia" w:ascii="宋体" w:hAnsi="宋体" w:eastAsia="宋体" w:cs="宋体"/>
                <w:color w:val="auto"/>
                <w:sz w:val="21"/>
                <w:szCs w:val="21"/>
                <w:highlight w:val="none"/>
                <w:lang w:eastAsia="zh-CN"/>
              </w:rPr>
              <w:t xml:space="preserve">街道办事处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5" w:type="dxa"/>
            <w:textDirection w:val="lrTb"/>
            <w:noWrap w:val="false"/>
          </w:tcPr>
          <w:p>
            <w:pPr>
              <w:jc w:val="both"/>
              <w:spacing w:before="120" w:after="12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 </w:t>
            </w:r>
            <w:r/>
          </w:p>
        </w:tc>
      </w:tr>
      <w:tr>
        <w:trPr>
          <w:trHeight w:val="58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4" w:type="dxa"/>
            <w:textDirection w:val="lrTb"/>
            <w:noWrap w:val="false"/>
          </w:tcPr>
          <w:p>
            <w:pPr>
              <w:jc w:val="both"/>
              <w:spacing w:before="120" w:after="12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地址：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5" w:type="dxa"/>
            <w:textDirection w:val="lrTb"/>
            <w:noWrap w:val="false"/>
          </w:tcPr>
          <w:p>
            <w:pPr>
              <w:jc w:val="both"/>
              <w:spacing w:before="120" w:after="12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地址： </w:t>
            </w:r>
            <w:r/>
          </w:p>
        </w:tc>
      </w:tr>
      <w:tr>
        <w:trPr>
          <w:trHeight w:val="58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4" w:type="dxa"/>
            <w:textDirection w:val="lrTb"/>
            <w:noWrap w:val="false"/>
          </w:tcPr>
          <w:p>
            <w:pPr>
              <w:jc w:val="both"/>
              <w:spacing w:before="120" w:after="120"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5" w:type="dxa"/>
            <w:textDirection w:val="lrTb"/>
            <w:noWrap w:val="false"/>
          </w:tcPr>
          <w:p>
            <w:pPr>
              <w:jc w:val="both"/>
              <w:spacing w:before="120" w:after="120"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法定代表人或授权代表：</w:t>
            </w:r>
            <w:r/>
          </w:p>
        </w:tc>
      </w:tr>
      <w:tr>
        <w:trPr>
          <w:trHeight w:val="58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4" w:type="dxa"/>
            <w:textDirection w:val="lrTb"/>
            <w:noWrap w:val="false"/>
          </w:tcPr>
          <w:p>
            <w:pPr>
              <w:jc w:val="both"/>
              <w:spacing w:before="120" w:after="12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5" w:type="dxa"/>
            <w:textDirection w:val="lrTb"/>
            <w:noWrap w:val="false"/>
          </w:tcPr>
          <w:p>
            <w:pPr>
              <w:jc w:val="both"/>
              <w:spacing w:before="120" w:after="12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联系电话：</w:t>
            </w:r>
            <w:r/>
          </w:p>
        </w:tc>
      </w:tr>
      <w:tr>
        <w:trPr>
          <w:trHeight w:val="58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14" w:type="dxa"/>
            <w:textDirection w:val="lrTb"/>
            <w:noWrap w:val="false"/>
          </w:tcPr>
          <w:p>
            <w:pPr>
              <w:jc w:val="both"/>
              <w:spacing w:before="120" w:after="12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25" w:type="dxa"/>
            <w:textDirection w:val="lrTb"/>
            <w:noWrap w:val="false"/>
          </w:tcPr>
          <w:p>
            <w:pPr>
              <w:jc w:val="both"/>
              <w:spacing w:before="120" w:after="12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日期：      年    月    日  </w:t>
            </w:r>
            <w:r/>
          </w:p>
        </w:tc>
      </w:tr>
    </w:tbl>
    <w:p>
      <w:pPr>
        <w:jc w:val="both"/>
        <w:spacing w:before="120" w:after="12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jc w:val="both"/>
        <w:spacing w:before="120" w:after="120"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r>
      <w:r/>
    </w:p>
    <w:p>
      <w:pPr>
        <w:jc w:val="both"/>
        <w:spacing w:before="120" w:after="120"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见证方：</w:t>
      </w:r>
      <w:r>
        <w:rPr>
          <w:rFonts w:hint="eastAsia" w:ascii="宋体" w:hAnsi="宋体" w:cs="宋体"/>
          <w:color w:val="auto"/>
          <w:sz w:val="21"/>
          <w:szCs w:val="21"/>
          <w:highlight w:val="none"/>
          <w:lang w:eastAsia="zh-CN"/>
        </w:rPr>
        <w:t xml:space="preserve">江苏汇诚投资咨询管理有限公司</w:t>
      </w:r>
      <w:r/>
    </w:p>
    <w:p>
      <w:pPr>
        <w:jc w:val="both"/>
        <w:spacing w:before="120" w:after="120"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项目经办人：</w:t>
      </w:r>
      <w:r/>
    </w:p>
    <w:p>
      <w:pP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 xml:space="preserve">日期：   年  月  日</w:t>
      </w:r>
      <w:r/>
    </w:p>
    <w:p>
      <w:pPr>
        <w:pStyle w:val="709"/>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706"/>
        <w:ind w:left="0" w:firstLine="0"/>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706"/>
        <w:ind w:left="0" w:firstLine="0"/>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706"/>
        <w:ind w:left="0" w:firstLine="0"/>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706"/>
        <w:ind w:left="0" w:firstLine="0"/>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706"/>
        <w:ind w:left="0" w:firstLine="0"/>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706"/>
        <w:ind w:left="0" w:firstLine="0"/>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907"/>
        <w:jc w:val="center"/>
        <w:spacing w:before="0" w:after="0" w:line="360" w:lineRule="auto"/>
        <w:rPr>
          <w:rFonts w:ascii="宋体" w:hAnsi="宋体" w:cs="宋体"/>
          <w:color w:val="auto"/>
          <w:highlight w:val="none"/>
        </w:rPr>
      </w:pPr>
      <w:r>
        <w:rPr>
          <w:rFonts w:hint="eastAsia" w:ascii="宋体" w:hAnsi="宋体" w:cs="宋体"/>
          <w:color w:val="auto"/>
          <w:sz w:val="36"/>
          <w:highlight w:val="none"/>
        </w:rPr>
        <w:t xml:space="preserve">第四章 项目需求</w:t>
      </w:r>
      <w:r/>
    </w:p>
    <w:p>
      <w:pPr>
        <w:keepLines w:val="0"/>
        <w:keepNext w:val="0"/>
        <w:pageBreakBefore w:val="0"/>
        <w:spacing w:line="440" w:lineRule="exact"/>
        <w:rPr>
          <w:rFonts w:hint="eastAsia" w:ascii="宋体" w:hAnsi="宋体" w:eastAsia="宋体" w:cs="宋体"/>
          <w:b/>
          <w:bCs/>
          <w:color w:val="000000"/>
          <w:sz w:val="21"/>
          <w:szCs w:val="21"/>
          <w:highlight w:val="none"/>
        </w:rPr>
      </w:pPr>
      <w:r/>
      <w:bookmarkStart w:id="25" w:name="_Toc109304975"/>
      <w:r>
        <w:rPr>
          <w:rFonts w:hint="eastAsia" w:ascii="宋体" w:hAnsi="宋体" w:eastAsia="宋体" w:cs="宋体"/>
          <w:b/>
          <w:bCs/>
          <w:color w:val="000000"/>
          <w:sz w:val="21"/>
          <w:szCs w:val="21"/>
          <w:highlight w:val="none"/>
        </w:rPr>
        <w:t xml:space="preserve">其他要求</w:t>
      </w:r>
      <w:r/>
    </w:p>
    <w:p>
      <w:pPr>
        <w:numPr>
          <w:ilvl w:val="0"/>
          <w:numId w:val="2"/>
        </w:numPr>
        <w:ind w:firstLine="420"/>
        <w:jc w:val="left"/>
        <w:keepLines w:val="0"/>
        <w:keepNext w:val="0"/>
        <w:pageBreakBefore w:val="0"/>
        <w:spacing w:line="440" w:lineRule="exact"/>
        <w:shd w:val="clear" w:color="auto" w:fill="ffffff"/>
        <w:widowControl/>
        <w:rPr>
          <w:rFonts w:hint="eastAsia" w:ascii="宋体" w:hAnsi="宋体" w:eastAsia="宋体" w:cs="宋体"/>
          <w:i/>
          <w:iCs/>
          <w:color w:val="000000"/>
          <w:sz w:val="21"/>
          <w:szCs w:val="21"/>
          <w:highlight w:val="none"/>
          <w:u w:val="single"/>
          <w:shd w:val="clear" w:color="auto" w:fill="ffffff"/>
          <w:lang w:bidi="ar"/>
        </w:rPr>
      </w:pPr>
      <w:r>
        <w:rPr>
          <w:rFonts w:hint="eastAsia" w:ascii="宋体" w:hAnsi="宋体" w:eastAsia="宋体" w:cs="宋体"/>
          <w:i/>
          <w:iCs/>
          <w:color w:val="000000"/>
          <w:sz w:val="21"/>
          <w:szCs w:val="21"/>
          <w:highlight w:val="none"/>
          <w:u w:val="single"/>
          <w:shd w:val="clear" w:color="auto" w:fill="ffffff"/>
          <w:lang w:bidi="ar"/>
        </w:rPr>
        <w:t xml:space="preserve">投标人（供应商）须提供承诺函，承诺设备、服务满足《绿色数据中心政府采购需求标准（试行）》的相关要求(承诺函格式自拟）。</w:t>
      </w:r>
      <w:r/>
    </w:p>
    <w:p>
      <w:p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lang w:bidi="ar"/>
        </w:rPr>
        <w:t xml:space="preserve">2、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pStyle w:val="919"/>
        <w:numPr>
          <w:ilvl w:val="0"/>
          <w:numId w:val="3"/>
        </w:numPr>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项目概况</w:t>
      </w:r>
      <w:r/>
    </w:p>
    <w:p>
      <w:pPr>
        <w:ind w:firstLine="420"/>
        <w:keepLines w:val="0"/>
        <w:keepNext w:val="0"/>
        <w:pageBreakBefore w:val="0"/>
        <w:spacing w:line="440" w:lineRule="exac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val="en-US" w:eastAsia="zh-CN"/>
        </w:rPr>
        <w:t xml:space="preserve">JSZC-321003-JSZC-C2025-0106</w:t>
      </w:r>
      <w:bookmarkStart w:id="41" w:name="_GoBack"/>
      <w:r/>
      <w:bookmarkEnd w:id="41"/>
      <w:r>
        <w:rPr>
          <w:rFonts w:hint="eastAsia" w:ascii="宋体" w:hAnsi="宋体" w:eastAsia="宋体" w:cs="宋体"/>
          <w:color w:val="000000"/>
          <w:sz w:val="21"/>
          <w:szCs w:val="21"/>
          <w:highlight w:val="none"/>
        </w:rPr>
        <w:t xml:space="preserve">号</w:t>
      </w:r>
      <w:r/>
    </w:p>
    <w:p>
      <w:pPr>
        <w:ind w:firstLine="420"/>
        <w:keepLines w:val="0"/>
        <w:keepNext w:val="0"/>
        <w:pageBreakBefore w:val="0"/>
        <w:spacing w:line="440" w:lineRule="exac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2.项目名称：双桥街道居家养老政府采购购买服务</w:t>
      </w:r>
      <w:r/>
    </w:p>
    <w:p>
      <w:pPr>
        <w:ind w:firstLine="420"/>
        <w:keepLines w:val="0"/>
        <w:keepNext w:val="0"/>
        <w:pageBreakBefore w:val="0"/>
        <w:spacing w:line="440" w:lineRule="exac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3.采购方式：竞争性磋商</w:t>
      </w:r>
      <w:r/>
    </w:p>
    <w:p>
      <w:pPr>
        <w:ind w:firstLine="420"/>
        <w:keepLines w:val="0"/>
        <w:keepNext w:val="0"/>
        <w:pageBreakBefore w:val="0"/>
        <w:spacing w:line="440" w:lineRule="exac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4.预算金额：</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00万元</w:t>
      </w:r>
      <w:r/>
    </w:p>
    <w:p>
      <w:pPr>
        <w:ind w:firstLine="420"/>
        <w:keepLines w:val="0"/>
        <w:keepNext w:val="0"/>
        <w:pageBreakBefore w:val="0"/>
        <w:spacing w:line="440" w:lineRule="exac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5.最高限价：人民币30元/小时（以上报价含服务费、管理费、服务人员交通费及通讯费等所有费用），报价超过最高限价的为无效报价，按照无效响应处理。</w:t>
      </w:r>
      <w:r/>
    </w:p>
    <w:p>
      <w:pPr>
        <w:ind w:firstLine="420"/>
        <w:keepLines w:val="0"/>
        <w:keepNext w:val="0"/>
        <w:pageBreakBefore w:val="0"/>
        <w:spacing w:line="440" w:lineRule="exac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6.合同履行期限：</w:t>
      </w:r>
      <w:r>
        <w:rPr>
          <w:rFonts w:hint="eastAsia" w:ascii="宋体" w:hAnsi="宋体" w:cs="宋体"/>
          <w:color w:val="000000"/>
          <w:sz w:val="21"/>
          <w:szCs w:val="21"/>
          <w:highlight w:val="none"/>
          <w:lang w:val="en-US" w:eastAsia="zh-CN"/>
        </w:rPr>
        <w:t xml:space="preserve">壹</w:t>
      </w:r>
      <w:r>
        <w:rPr>
          <w:rFonts w:hint="eastAsia" w:ascii="宋体" w:hAnsi="宋体" w:eastAsia="宋体" w:cs="宋体"/>
          <w:color w:val="000000"/>
          <w:sz w:val="21"/>
          <w:szCs w:val="21"/>
          <w:highlight w:val="none"/>
        </w:rPr>
        <w:t xml:space="preserve">年（自签订合同之日起计）。</w:t>
      </w:r>
      <w:r/>
    </w:p>
    <w:p>
      <w:pPr>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二、政府购买服务对象和标准</w:t>
      </w:r>
      <w:r/>
    </w:p>
    <w:p>
      <w:p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1）困难老年人养老服务补贴。对年满 60 周岁以上，户籍在邗江且长期（原则上指半年以上）居住在户籍地的城乡散居特困老人、低保家庭老人、计划生育特殊家庭老人、重点优抚对象和特殊贡献（如市级以上劳模、优秀共产党员等）老人、孤寡老人、空巢独居老人以及其他困难老人（以上对象简称为“困难老人”），通过老年人能力评估，根据自理（能力完好）、半失能（轻度失能和中度失能）、失能（重度失能）类别，按照每人每月 80 元、150 元、260元的标准给予补贴。 </w:t>
      </w:r>
      <w:r/>
    </w:p>
    <w:p>
      <w:p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2）高龄老年人养老服务补贴。对年满 80 周岁以上，户籍在邗江且长期（原则上指半年以上）居住在户籍地的老人（简称“高龄老人”），根据政府购买居家养老服务占比要求，在对高龄老人进行能力评估后，按照每人每月不低于60元的标准给予补贴。 </w:t>
      </w:r>
      <w:r/>
    </w:p>
    <w:p>
      <w:p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上述两种类型的养老服务补贴不得重复享受。</w:t>
      </w:r>
      <w:r/>
    </w:p>
    <w:p>
      <w:p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特别提示: 政府购买服务人数按照甲方审核通过人数为依据，护理等级按照</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或有资质的机构评估结果为依据，资金结算以实际服务人数以及对应护理等级为依据，实际付款时间、金额以甲方和民政局审核结果以及上级单位实际下拨的资金为准，考核验收以区民政局要求的第三方邗江区智慧养老服务信息平台考核为</w:t>
      </w:r>
      <w:r>
        <w:rPr>
          <w:rFonts w:hint="eastAsia" w:ascii="宋体" w:hAnsi="宋体" w:eastAsia="宋体" w:cs="宋体"/>
          <w:color w:val="000000"/>
          <w:sz w:val="21"/>
          <w:szCs w:val="21"/>
          <w:highlight w:val="none"/>
          <w:lang w:eastAsia="zh-CN"/>
        </w:rPr>
        <w:t xml:space="preserve">基础</w:t>
      </w:r>
      <w:r>
        <w:rPr>
          <w:rFonts w:hint="eastAsia" w:ascii="宋体" w:hAnsi="宋体" w:eastAsia="宋体" w:cs="宋体"/>
          <w:color w:val="000000"/>
          <w:sz w:val="21"/>
          <w:szCs w:val="21"/>
          <w:highlight w:val="none"/>
        </w:rPr>
        <w:t xml:space="preserve">，街道、社区负责日常监督。</w:t>
      </w:r>
      <w:r/>
    </w:p>
    <w:p>
      <w:pPr>
        <w:numPr>
          <w:ilvl w:val="0"/>
          <w:numId w:val="4"/>
        </w:numPr>
        <w:ind w:firstLine="422"/>
        <w:keepLines w:val="0"/>
        <w:keepNext w:val="0"/>
        <w:pageBreakBefore w:val="0"/>
        <w:spacing w:line="440" w:lineRule="exact"/>
        <w:rPr>
          <w:rFonts w:hint="eastAsia" w:ascii="宋体" w:hAnsi="宋体" w:eastAsia="宋体" w:cs="宋体"/>
          <w:color w:val="000000"/>
          <w:sz w:val="21"/>
          <w:szCs w:val="21"/>
          <w:highlight w:val="none"/>
          <w:lang w:val="zh-TW" w:bidi="zh-TW"/>
        </w:rPr>
      </w:pPr>
      <w:r>
        <w:rPr>
          <w:rFonts w:hint="eastAsia" w:ascii="宋体" w:hAnsi="宋体" w:eastAsia="宋体" w:cs="宋体"/>
          <w:b/>
          <w:bCs/>
          <w:color w:val="000000"/>
          <w:sz w:val="21"/>
          <w:szCs w:val="21"/>
          <w:highlight w:val="none"/>
          <w:lang w:val="zh-TW"/>
        </w:rPr>
        <w:t xml:space="preserve">服务运营要求</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TW" w:bidi="zh-TW"/>
        </w:rPr>
      </w:pPr>
      <w:r>
        <w:rPr>
          <w:rFonts w:hint="eastAsia" w:ascii="宋体" w:hAnsi="宋体" w:eastAsia="宋体" w:cs="宋体"/>
          <w:color w:val="000000"/>
          <w:sz w:val="21"/>
          <w:szCs w:val="21"/>
          <w:highlight w:val="none"/>
          <w:lang w:val="zh-TW" w:bidi="zh-TW"/>
        </w:rPr>
        <w:t xml:space="preserve">（1）</w:t>
      </w:r>
      <w:r>
        <w:rPr>
          <w:rFonts w:hint="eastAsia" w:ascii="宋体" w:hAnsi="宋体" w:eastAsia="宋体" w:cs="宋体"/>
          <w:color w:val="000000"/>
          <w:sz w:val="21"/>
          <w:szCs w:val="21"/>
          <w:highlight w:val="none"/>
          <w:lang w:val="en-US" w:eastAsia="zh-CN" w:bidi="zh-TW"/>
        </w:rPr>
        <w:t xml:space="preserve">供应商</w:t>
      </w:r>
      <w:r>
        <w:rPr>
          <w:rFonts w:hint="eastAsia" w:ascii="宋体" w:hAnsi="宋体" w:eastAsia="宋体" w:cs="宋体"/>
          <w:color w:val="000000"/>
          <w:sz w:val="21"/>
          <w:szCs w:val="21"/>
          <w:highlight w:val="none"/>
          <w:lang w:val="zh-TW" w:bidi="zh-TW"/>
        </w:rPr>
        <w:t xml:space="preserve">根据服务需求增配养老专业设施。</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TW" w:bidi="zh-TW"/>
        </w:rPr>
      </w:pPr>
      <w:r>
        <w:rPr>
          <w:rFonts w:hint="eastAsia" w:ascii="宋体" w:hAnsi="宋体" w:eastAsia="宋体" w:cs="宋体"/>
          <w:color w:val="000000"/>
          <w:sz w:val="21"/>
          <w:szCs w:val="21"/>
          <w:highlight w:val="none"/>
          <w:lang w:val="zh-TW" w:bidi="zh-TW"/>
        </w:rPr>
        <w:t xml:space="preserve">（2）双桥街道</w:t>
      </w:r>
      <w:r>
        <w:rPr>
          <w:rFonts w:hint="eastAsia" w:ascii="宋体" w:hAnsi="宋体" w:eastAsia="宋体" w:cs="宋体"/>
          <w:color w:val="000000"/>
          <w:sz w:val="21"/>
          <w:szCs w:val="21"/>
          <w:highlight w:val="none"/>
          <w:lang w:bidi="zh-TW"/>
        </w:rPr>
        <w:t xml:space="preserve">政府购买居家养老服务的</w:t>
      </w:r>
      <w:r>
        <w:rPr>
          <w:rFonts w:hint="eastAsia" w:ascii="宋体" w:hAnsi="宋体" w:eastAsia="宋体" w:cs="宋体"/>
          <w:color w:val="000000"/>
          <w:sz w:val="21"/>
          <w:szCs w:val="21"/>
          <w:highlight w:val="none"/>
          <w:lang w:val="zh-TW" w:bidi="zh-TW"/>
        </w:rPr>
        <w:t xml:space="preserve">日常运作及管理工作，组建管理团队和服务团队，利用相关场地组织开展与养老服务、社区服务等有关的工作，为社区老年人开展生活照料、助餐服务、康复护理、文化娱乐、精神慰藉、法律咨询以及个性化需求的社区居家养老服务工作。</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TW" w:bidi="zh-TW"/>
        </w:rPr>
      </w:pPr>
      <w:r>
        <w:rPr>
          <w:rFonts w:hint="eastAsia" w:ascii="宋体" w:hAnsi="宋体" w:eastAsia="宋体" w:cs="宋体"/>
          <w:color w:val="000000"/>
          <w:sz w:val="21"/>
          <w:szCs w:val="21"/>
          <w:highlight w:val="none"/>
          <w:lang w:val="zh-TW" w:bidi="zh-TW"/>
        </w:rPr>
        <w:t xml:space="preserve">（</w:t>
      </w:r>
      <w:r>
        <w:rPr>
          <w:rFonts w:hint="eastAsia" w:ascii="宋体" w:hAnsi="宋体" w:eastAsia="宋体" w:cs="宋体"/>
          <w:color w:val="000000"/>
          <w:sz w:val="21"/>
          <w:szCs w:val="21"/>
          <w:highlight w:val="none"/>
          <w:lang w:bidi="zh-TW"/>
        </w:rPr>
        <w:t xml:space="preserve">3</w:t>
      </w:r>
      <w:r>
        <w:rPr>
          <w:rFonts w:hint="eastAsia" w:ascii="宋体" w:hAnsi="宋体" w:eastAsia="宋体" w:cs="宋体"/>
          <w:color w:val="000000"/>
          <w:sz w:val="21"/>
          <w:szCs w:val="21"/>
          <w:highlight w:val="none"/>
          <w:lang w:val="zh-TW" w:bidi="zh-TW"/>
        </w:rPr>
        <w:t xml:space="preserve">）为政府购买服务范围内的人员提供居家养老服务，以实际服务人数为准。</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TW" w:bidi="zh-TW"/>
        </w:rPr>
      </w:pPr>
      <w:r>
        <w:rPr>
          <w:rFonts w:hint="eastAsia" w:ascii="宋体" w:hAnsi="宋体" w:eastAsia="宋体" w:cs="宋体"/>
          <w:color w:val="000000"/>
          <w:sz w:val="21"/>
          <w:szCs w:val="21"/>
          <w:highlight w:val="none"/>
          <w:lang w:val="zh-TW" w:bidi="zh-TW"/>
        </w:rPr>
        <w:t xml:space="preserve">（</w:t>
      </w:r>
      <w:r>
        <w:rPr>
          <w:rFonts w:hint="eastAsia" w:ascii="宋体" w:hAnsi="宋体" w:eastAsia="宋体" w:cs="宋体"/>
          <w:color w:val="000000"/>
          <w:sz w:val="21"/>
          <w:szCs w:val="21"/>
          <w:highlight w:val="none"/>
          <w:lang w:bidi="zh-TW"/>
        </w:rPr>
        <w:t xml:space="preserve">4</w:t>
      </w:r>
      <w:r>
        <w:rPr>
          <w:rFonts w:hint="eastAsia" w:ascii="宋体" w:hAnsi="宋体" w:eastAsia="宋体" w:cs="宋体"/>
          <w:color w:val="000000"/>
          <w:sz w:val="21"/>
          <w:szCs w:val="21"/>
          <w:highlight w:val="none"/>
          <w:lang w:val="zh-TW" w:bidi="zh-TW"/>
        </w:rPr>
        <w:t xml:space="preserve">）因服务人群呈动态变化状态，以合同签订后甲方提供的实际人数为准。</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TW" w:bidi="zh-TW"/>
        </w:rPr>
      </w:pPr>
      <w:r>
        <w:rPr>
          <w:rFonts w:hint="eastAsia" w:ascii="宋体" w:hAnsi="宋体" w:eastAsia="宋体" w:cs="宋体"/>
          <w:color w:val="000000"/>
          <w:sz w:val="21"/>
          <w:szCs w:val="21"/>
          <w:highlight w:val="none"/>
          <w:lang w:val="zh-TW" w:bidi="zh-TW"/>
        </w:rPr>
        <w:t xml:space="preserve">（</w:t>
      </w:r>
      <w:r>
        <w:rPr>
          <w:rFonts w:hint="eastAsia" w:ascii="宋体" w:hAnsi="宋体" w:eastAsia="宋体" w:cs="宋体"/>
          <w:color w:val="000000"/>
          <w:sz w:val="21"/>
          <w:szCs w:val="21"/>
          <w:highlight w:val="none"/>
          <w:lang w:bidi="zh-TW"/>
        </w:rPr>
        <w:t xml:space="preserve">5</w:t>
      </w:r>
      <w:r>
        <w:rPr>
          <w:rFonts w:hint="eastAsia" w:ascii="宋体" w:hAnsi="宋体" w:eastAsia="宋体" w:cs="宋体"/>
          <w:color w:val="000000"/>
          <w:sz w:val="21"/>
          <w:szCs w:val="21"/>
          <w:highlight w:val="none"/>
          <w:lang w:val="zh-TW" w:bidi="zh-TW"/>
        </w:rPr>
        <w:t xml:space="preserve">）合同执行期间，如省、市、区及邗江区民政局出台相关政策文件对服务对象、补贴标准、服务范围、考核要求、资金发放等参数进行调整的，按照最新政策执行。</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TW" w:bidi="zh-TW"/>
        </w:rPr>
      </w:pPr>
      <w:r>
        <w:rPr>
          <w:rFonts w:hint="eastAsia" w:ascii="宋体" w:hAnsi="宋体" w:eastAsia="宋体" w:cs="宋体"/>
          <w:color w:val="000000"/>
          <w:sz w:val="21"/>
          <w:szCs w:val="21"/>
          <w:highlight w:val="none"/>
          <w:lang w:val="zh-TW" w:bidi="zh-TW"/>
        </w:rPr>
        <w:t xml:space="preserve">（</w:t>
      </w:r>
      <w:r>
        <w:rPr>
          <w:rFonts w:hint="eastAsia" w:ascii="宋体" w:hAnsi="宋体" w:eastAsia="宋体" w:cs="宋体"/>
          <w:color w:val="000000"/>
          <w:sz w:val="21"/>
          <w:szCs w:val="21"/>
          <w:highlight w:val="none"/>
          <w:lang w:bidi="zh-TW"/>
        </w:rPr>
        <w:t xml:space="preserve">6</w:t>
      </w:r>
      <w:r>
        <w:rPr>
          <w:rFonts w:hint="eastAsia" w:ascii="宋体" w:hAnsi="宋体" w:eastAsia="宋体" w:cs="宋体"/>
          <w:color w:val="000000"/>
          <w:sz w:val="21"/>
          <w:szCs w:val="21"/>
          <w:highlight w:val="none"/>
          <w:lang w:val="zh-TW" w:bidi="zh-TW"/>
        </w:rPr>
        <w:t xml:space="preserve">）服务费用结算以实际服务的政府购买服务对象数、服务内容和服务质量为依据据实核定。</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TW" w:bidi="zh-TW"/>
        </w:rPr>
      </w:pPr>
      <w:r>
        <w:rPr>
          <w:rFonts w:hint="eastAsia" w:ascii="宋体" w:hAnsi="宋体" w:eastAsia="宋体" w:cs="宋体"/>
          <w:color w:val="000000"/>
          <w:sz w:val="21"/>
          <w:szCs w:val="21"/>
          <w:highlight w:val="none"/>
          <w:lang w:val="zh-TW" w:eastAsia="zh-CN" w:bidi="zh-TW"/>
        </w:rPr>
        <w:t xml:space="preserve">（</w:t>
      </w:r>
      <w:r>
        <w:rPr>
          <w:rFonts w:hint="eastAsia" w:ascii="宋体" w:hAnsi="宋体" w:eastAsia="宋体" w:cs="宋体"/>
          <w:color w:val="000000"/>
          <w:sz w:val="21"/>
          <w:szCs w:val="21"/>
          <w:highlight w:val="none"/>
          <w:lang w:val="en-US" w:eastAsia="zh-CN" w:bidi="zh-TW"/>
        </w:rPr>
        <w:t xml:space="preserve">7</w:t>
      </w:r>
      <w:r>
        <w:rPr>
          <w:rFonts w:hint="eastAsia" w:ascii="宋体" w:hAnsi="宋体" w:eastAsia="宋体" w:cs="宋体"/>
          <w:color w:val="000000"/>
          <w:sz w:val="21"/>
          <w:szCs w:val="21"/>
          <w:highlight w:val="none"/>
          <w:lang w:val="zh-TW" w:eastAsia="zh-CN" w:bidi="zh-TW"/>
        </w:rPr>
        <w:t xml:space="preserve">）</w:t>
      </w:r>
      <w:r>
        <w:rPr>
          <w:rFonts w:hint="eastAsia" w:ascii="宋体" w:hAnsi="宋体" w:eastAsia="宋体" w:cs="宋体"/>
          <w:color w:val="000000"/>
          <w:sz w:val="21"/>
          <w:szCs w:val="21"/>
          <w:highlight w:val="none"/>
          <w:lang w:val="en-US" w:eastAsia="zh-CN" w:bidi="zh-TW"/>
        </w:rPr>
        <w:t xml:space="preserve">供应商</w:t>
      </w:r>
      <w:r>
        <w:rPr>
          <w:rFonts w:hint="eastAsia" w:ascii="宋体" w:hAnsi="宋体" w:eastAsia="宋体" w:cs="宋体"/>
          <w:color w:val="000000"/>
          <w:sz w:val="21"/>
          <w:szCs w:val="21"/>
          <w:highlight w:val="none"/>
          <w:lang w:val="zh-TW" w:bidi="zh-TW"/>
        </w:rPr>
        <w:t xml:space="preserve">承诺按区政府办公室关于印发《邗江区关于进一步做好居家养老政府购买服务工作实施方案（试行） 》的通知（扬邗政办(2020）37号）文件</w:t>
      </w:r>
      <w:r>
        <w:rPr>
          <w:rFonts w:hint="eastAsia" w:ascii="宋体" w:hAnsi="宋体" w:eastAsia="宋体" w:cs="宋体"/>
          <w:color w:val="000000"/>
          <w:sz w:val="21"/>
          <w:szCs w:val="21"/>
          <w:highlight w:val="none"/>
          <w:lang w:val="zh-TW" w:eastAsia="zh-CN" w:bidi="zh-TW"/>
        </w:rPr>
        <w:t xml:space="preserve">及其他中央、省、市、区及民政局等各级政府部门下发的文件</w:t>
      </w:r>
      <w:r>
        <w:rPr>
          <w:rFonts w:hint="eastAsia" w:ascii="宋体" w:hAnsi="宋体" w:eastAsia="宋体" w:cs="宋体"/>
          <w:color w:val="000000"/>
          <w:sz w:val="21"/>
          <w:szCs w:val="21"/>
          <w:highlight w:val="none"/>
          <w:lang w:val="zh-TW" w:bidi="zh-TW"/>
        </w:rPr>
        <w:t xml:space="preserve">相关要求</w:t>
      </w:r>
      <w:r>
        <w:rPr>
          <w:rFonts w:hint="eastAsia" w:ascii="宋体" w:hAnsi="宋体" w:eastAsia="宋体" w:cs="宋体"/>
          <w:color w:val="000000"/>
          <w:sz w:val="21"/>
          <w:szCs w:val="21"/>
          <w:highlight w:val="none"/>
          <w:lang w:val="zh-TW" w:eastAsia="zh-CN" w:bidi="zh-TW"/>
        </w:rPr>
        <w:t xml:space="preserve">提供</w:t>
      </w:r>
      <w:r>
        <w:rPr>
          <w:rFonts w:hint="eastAsia" w:ascii="宋体" w:hAnsi="宋体" w:eastAsia="宋体" w:cs="宋体"/>
          <w:color w:val="000000"/>
          <w:sz w:val="21"/>
          <w:szCs w:val="21"/>
          <w:highlight w:val="none"/>
          <w:lang w:val="zh-TW" w:bidi="zh-TW"/>
        </w:rPr>
        <w:t xml:space="preserve">服务。</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zh-TW" w:bidi="zh-TW"/>
        </w:rPr>
        <w:t xml:space="preserve">（</w:t>
      </w:r>
      <w:r>
        <w:rPr>
          <w:rFonts w:hint="eastAsia" w:ascii="宋体" w:hAnsi="宋体" w:eastAsia="宋体" w:cs="宋体"/>
          <w:color w:val="000000"/>
          <w:sz w:val="21"/>
          <w:szCs w:val="21"/>
          <w:highlight w:val="none"/>
          <w:lang w:val="en-US" w:eastAsia="zh-CN" w:bidi="zh-TW"/>
        </w:rPr>
        <w:t xml:space="preserve">8</w:t>
      </w:r>
      <w:r>
        <w:rPr>
          <w:rFonts w:hint="eastAsia" w:ascii="宋体" w:hAnsi="宋体" w:eastAsia="宋体" w:cs="宋体"/>
          <w:color w:val="000000"/>
          <w:sz w:val="21"/>
          <w:szCs w:val="21"/>
          <w:highlight w:val="none"/>
          <w:lang w:val="zh-TW" w:bidi="zh-TW"/>
        </w:rPr>
        <w:t xml:space="preserve">）</w:t>
      </w:r>
      <w:r>
        <w:rPr>
          <w:rFonts w:hint="eastAsia" w:ascii="宋体" w:hAnsi="宋体" w:eastAsia="宋体" w:cs="宋体"/>
          <w:color w:val="000000"/>
          <w:sz w:val="21"/>
          <w:szCs w:val="21"/>
          <w:highlight w:val="none"/>
          <w:lang w:val="en-US" w:eastAsia="zh-CN" w:bidi="zh-TW"/>
        </w:rPr>
        <w:t xml:space="preserve">供应商</w:t>
      </w:r>
      <w:r>
        <w:rPr>
          <w:rFonts w:hint="eastAsia" w:ascii="宋体" w:hAnsi="宋体" w:eastAsia="宋体" w:cs="宋体"/>
          <w:color w:val="000000"/>
          <w:sz w:val="21"/>
          <w:szCs w:val="21"/>
          <w:highlight w:val="none"/>
          <w:lang w:val="zh-TW" w:bidi="zh-TW"/>
        </w:rPr>
        <w:t xml:space="preserve">有以下情形之一的，取消服务资格</w:t>
      </w:r>
      <w:r>
        <w:rPr>
          <w:rFonts w:hint="eastAsia" w:ascii="宋体" w:hAnsi="宋体" w:eastAsia="宋体" w:cs="宋体"/>
          <w:color w:val="000000"/>
          <w:sz w:val="21"/>
          <w:szCs w:val="21"/>
          <w:highlight w:val="none"/>
          <w:lang w:val="zh-TW" w:eastAsia="zh-CN" w:bidi="zh-TW"/>
        </w:rPr>
        <w:t xml:space="preserve">，本合同立即终止</w:t>
      </w:r>
      <w:r>
        <w:rPr>
          <w:rFonts w:hint="eastAsia" w:ascii="宋体" w:hAnsi="宋体" w:eastAsia="宋体" w:cs="宋体"/>
          <w:color w:val="000000"/>
          <w:sz w:val="21"/>
          <w:szCs w:val="21"/>
          <w:highlight w:val="none"/>
          <w:lang w:val="zh-TW" w:bidi="zh-TW"/>
        </w:rPr>
        <w:t xml:space="preserve">： ①以向服务对象送实物等变通方式套取服务对象补贴资金的； ②借助开展服务的机会向老年人推销保健产品</w:t>
      </w:r>
      <w:r>
        <w:rPr>
          <w:rFonts w:hint="eastAsia" w:ascii="宋体" w:hAnsi="宋体" w:eastAsia="宋体" w:cs="宋体"/>
          <w:color w:val="000000"/>
          <w:sz w:val="21"/>
          <w:szCs w:val="21"/>
          <w:highlight w:val="none"/>
          <w:lang w:val="zh-TW" w:eastAsia="zh-CN" w:bidi="zh-TW"/>
        </w:rPr>
        <w:t xml:space="preserve">或其他产品</w:t>
      </w:r>
      <w:r>
        <w:rPr>
          <w:rFonts w:hint="eastAsia" w:ascii="宋体" w:hAnsi="宋体" w:eastAsia="宋体" w:cs="宋体"/>
          <w:color w:val="000000"/>
          <w:sz w:val="21"/>
          <w:szCs w:val="21"/>
          <w:highlight w:val="none"/>
          <w:lang w:val="zh-TW" w:bidi="zh-TW"/>
        </w:rPr>
        <w:t xml:space="preserve">的；③借助开展服务的机会向老年人集资、吸储等严重损害了老年人合法权益的</w:t>
      </w:r>
      <w:r>
        <w:rPr>
          <w:rFonts w:hint="eastAsia" w:ascii="宋体" w:hAnsi="宋体" w:eastAsia="宋体" w:cs="宋体"/>
          <w:color w:val="000000"/>
          <w:sz w:val="21"/>
          <w:szCs w:val="21"/>
          <w:highlight w:val="none"/>
          <w:lang w:val="zh-TW" w:eastAsia="zh-CN" w:bidi="zh-TW"/>
        </w:rPr>
        <w:t xml:space="preserve">；</w:t>
      </w:r>
      <w:r>
        <w:rPr>
          <w:rFonts w:hint="eastAsia" w:ascii="宋体" w:hAnsi="宋体" w:eastAsia="宋体" w:cs="宋体"/>
          <w:color w:val="000000"/>
          <w:sz w:val="21"/>
          <w:szCs w:val="21"/>
          <w:highlight w:val="none"/>
          <w:lang w:val="zh-TW" w:bidi="zh-TW"/>
        </w:rPr>
        <w:t xml:space="preserve">④</w:t>
      </w:r>
      <w:r>
        <w:rPr>
          <w:rFonts w:hint="eastAsia" w:ascii="宋体" w:hAnsi="宋体" w:eastAsia="宋体" w:cs="宋体"/>
          <w:color w:val="000000"/>
          <w:sz w:val="21"/>
          <w:szCs w:val="21"/>
          <w:highlight w:val="none"/>
          <w:lang w:val="en-US" w:eastAsia="zh-CN" w:bidi="zh-TW"/>
        </w:rPr>
        <w:t xml:space="preserve">成交</w:t>
      </w:r>
      <w:r>
        <w:rPr>
          <w:rFonts w:hint="eastAsia" w:ascii="宋体" w:hAnsi="宋体" w:eastAsia="宋体" w:cs="宋体"/>
          <w:color w:val="000000"/>
          <w:sz w:val="21"/>
          <w:szCs w:val="21"/>
          <w:highlight w:val="none"/>
          <w:lang w:val="zh-TW" w:bidi="zh-TW"/>
        </w:rPr>
        <w:t xml:space="preserve">后，不具备</w:t>
      </w:r>
      <w:r>
        <w:rPr>
          <w:rFonts w:hint="eastAsia" w:ascii="宋体" w:hAnsi="宋体" w:eastAsia="宋体" w:cs="宋体"/>
          <w:color w:val="000000"/>
          <w:sz w:val="21"/>
          <w:szCs w:val="21"/>
          <w:highlight w:val="none"/>
          <w:lang w:val="zh-TW" w:eastAsia="zh-CN" w:bidi="zh-TW"/>
        </w:rPr>
        <w:t xml:space="preserve">或丧失</w:t>
      </w:r>
      <w:r>
        <w:rPr>
          <w:rFonts w:hint="eastAsia" w:ascii="宋体" w:hAnsi="宋体" w:eastAsia="宋体" w:cs="宋体"/>
          <w:color w:val="000000"/>
          <w:sz w:val="21"/>
          <w:szCs w:val="21"/>
          <w:highlight w:val="none"/>
          <w:lang w:val="zh-TW" w:bidi="zh-TW"/>
        </w:rPr>
        <w:t xml:space="preserve">完成政府购买服务能力</w:t>
      </w:r>
      <w:r>
        <w:rPr>
          <w:rFonts w:hint="eastAsia" w:ascii="宋体" w:hAnsi="宋体" w:eastAsia="宋体" w:cs="宋体"/>
          <w:color w:val="000000"/>
          <w:sz w:val="21"/>
          <w:szCs w:val="21"/>
          <w:highlight w:val="none"/>
          <w:lang w:val="zh-TW" w:eastAsia="zh-CN" w:bidi="zh-TW"/>
        </w:rPr>
        <w:t xml:space="preserve">、应尽的合同义务</w:t>
      </w:r>
      <w:r>
        <w:rPr>
          <w:rFonts w:hint="eastAsia" w:ascii="宋体" w:hAnsi="宋体" w:eastAsia="宋体" w:cs="宋体"/>
          <w:color w:val="000000"/>
          <w:sz w:val="21"/>
          <w:szCs w:val="21"/>
          <w:highlight w:val="none"/>
          <w:lang w:val="zh-TW" w:bidi="zh-TW"/>
        </w:rPr>
        <w:t xml:space="preserve">的；⑤</w:t>
      </w:r>
      <w:r>
        <w:rPr>
          <w:rFonts w:hint="eastAsia" w:ascii="宋体" w:hAnsi="宋体" w:eastAsia="宋体" w:cs="宋体"/>
          <w:color w:val="000000"/>
          <w:sz w:val="21"/>
          <w:szCs w:val="21"/>
          <w:highlight w:val="none"/>
          <w:lang w:val="en-US" w:eastAsia="zh-CN" w:bidi="zh-TW"/>
        </w:rPr>
        <w:t xml:space="preserve">供应商</w:t>
      </w:r>
      <w:r>
        <w:rPr>
          <w:rFonts w:hint="eastAsia" w:ascii="宋体" w:hAnsi="宋体" w:eastAsia="宋体" w:cs="宋体"/>
          <w:color w:val="000000"/>
          <w:sz w:val="21"/>
          <w:szCs w:val="21"/>
          <w:highlight w:val="none"/>
          <w:lang w:val="zh-TW" w:bidi="zh-TW"/>
        </w:rPr>
        <w:t xml:space="preserve">有其他违法行为的。</w:t>
      </w:r>
      <w:r/>
    </w:p>
    <w:p>
      <w:pPr>
        <w:numPr>
          <w:ilvl w:val="0"/>
          <w:numId w:val="4"/>
        </w:numPr>
        <w:ind w:firstLine="422"/>
        <w:keepLines w:val="0"/>
        <w:keepNext w:val="0"/>
        <w:pageBreakBefore w:val="0"/>
        <w:spacing w:line="4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项目预算</w:t>
      </w:r>
      <w:r/>
    </w:p>
    <w:p>
      <w:pPr>
        <w:numPr>
          <w:ilvl w:val="0"/>
          <w:numId w:val="5"/>
        </w:num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每位服务对象每月政府购买服务补贴标准为60、80、150、260元。其补助标准可能会根据市、区相关部门相关政策的要求做出相应的调整。采购服务对象预计</w:t>
      </w:r>
      <w:r>
        <w:rPr>
          <w:rFonts w:hint="eastAsia" w:ascii="宋体" w:hAnsi="宋体" w:eastAsia="宋体" w:cs="宋体"/>
          <w:color w:val="000000"/>
          <w:sz w:val="21"/>
          <w:szCs w:val="21"/>
          <w:highlight w:val="none"/>
          <w:lang w:val="en-US" w:eastAsia="zh-CN"/>
        </w:rPr>
        <w:t xml:space="preserve">1800</w:t>
      </w:r>
      <w:r>
        <w:rPr>
          <w:rFonts w:hint="eastAsia" w:ascii="宋体" w:hAnsi="宋体" w:eastAsia="宋体" w:cs="宋体"/>
          <w:color w:val="000000"/>
          <w:sz w:val="21"/>
          <w:szCs w:val="21"/>
          <w:highlight w:val="none"/>
        </w:rPr>
        <w:t xml:space="preserve">人（具体人数以实际服务为准，根据政策调整，可适当调整服务人数），年预算约为100万元。</w:t>
      </w:r>
      <w:r/>
    </w:p>
    <w:p>
      <w:p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2、服务内容：</w:t>
      </w:r>
      <w:r/>
    </w:p>
    <w:p>
      <w:pPr>
        <w:ind w:firstLine="420"/>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服务区域：双桥街道辖区范围内</w:t>
      </w:r>
      <w:r/>
    </w:p>
    <w:tbl>
      <w:tblPr>
        <w:tblStyle w:val="705"/>
        <w:tblW w:w="102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2061"/>
        <w:gridCol w:w="5494"/>
        <w:gridCol w:w="2696"/>
      </w:tblGrid>
      <w:tr>
        <w:trPr>
          <w:jc w:val="center"/>
          <w:trHeight w:val="584"/>
        </w:trPr>
        <w:tc>
          <w:tcPr>
            <w:tcW w:w="2061" w:type="dxa"/>
            <w:vAlign w:val="center"/>
            <w:textDirection w:val="lrTb"/>
            <w:noWrap w:val="false"/>
          </w:tcPr>
          <w:p>
            <w:pPr>
              <w:pStyle w:val="931"/>
              <w:ind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补贴标准(元/人/月)</w:t>
            </w:r>
            <w:r/>
          </w:p>
        </w:tc>
        <w:tc>
          <w:tcPr>
            <w:tcW w:w="5494" w:type="dxa"/>
            <w:vAlign w:val="center"/>
            <w:textDirection w:val="lrTb"/>
            <w:noWrap w:val="false"/>
          </w:tcPr>
          <w:p>
            <w:pPr>
              <w:pStyle w:val="931"/>
              <w:ind w:firstLine="42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基本服务内容</w:t>
            </w:r>
            <w:r/>
          </w:p>
        </w:tc>
        <w:tc>
          <w:tcPr>
            <w:tcW w:w="2696" w:type="dxa"/>
            <w:vAlign w:val="center"/>
            <w:textDirection w:val="lrTb"/>
            <w:noWrap w:val="false"/>
          </w:tcPr>
          <w:p>
            <w:pPr>
              <w:pStyle w:val="931"/>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拓展服务内容</w:t>
            </w:r>
            <w:r/>
          </w:p>
        </w:tc>
      </w:tr>
      <w:tr>
        <w:trPr>
          <w:jc w:val="center"/>
          <w:trHeight w:val="318"/>
        </w:trPr>
        <w:tc>
          <w:tcPr>
            <w:tcW w:w="2061" w:type="dxa"/>
            <w:vAlign w:val="center"/>
            <w:textDirection w:val="lrTb"/>
            <w:noWrap w:val="false"/>
          </w:tcPr>
          <w:p>
            <w:pPr>
              <w:pStyle w:val="931"/>
              <w:ind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60元</w:t>
            </w:r>
            <w:r/>
          </w:p>
        </w:tc>
        <w:tc>
          <w:tcPr>
            <w:tcW w:w="5494" w:type="dxa"/>
            <w:vAlign w:val="center"/>
            <w:textDirection w:val="lrTb"/>
            <w:noWrap w:val="false"/>
          </w:tcPr>
          <w:p>
            <w:pPr>
              <w:pStyle w:val="931"/>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助餐、助浴、助医、助洁等居家养老服务。</w:t>
            </w:r>
            <w:r/>
          </w:p>
        </w:tc>
        <w:tc>
          <w:tcPr>
            <w:tcW w:w="2696" w:type="dxa"/>
            <w:vAlign w:val="center"/>
            <w:vMerge w:val="restart"/>
            <w:textDirection w:val="lrTb"/>
            <w:noWrap w:val="false"/>
          </w:tcPr>
          <w:p>
            <w:pPr>
              <w:pStyle w:val="931"/>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老年人及其家庭可根据老年人的实际需求，自主选择个性化、专业化的居家养老服务，政府补贴费用不足时， 应由老年人及其家庭自行承担。</w:t>
            </w:r>
            <w:r/>
          </w:p>
        </w:tc>
      </w:tr>
      <w:tr>
        <w:trPr>
          <w:jc w:val="center"/>
          <w:trHeight w:val="398"/>
        </w:trPr>
        <w:tc>
          <w:tcPr>
            <w:tcW w:w="2061" w:type="dxa"/>
            <w:vAlign w:val="center"/>
            <w:textDirection w:val="lrTb"/>
            <w:noWrap w:val="false"/>
          </w:tcPr>
          <w:p>
            <w:pPr>
              <w:pStyle w:val="931"/>
              <w:ind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80元</w:t>
            </w:r>
            <w:r/>
          </w:p>
        </w:tc>
        <w:tc>
          <w:tcPr>
            <w:tcW w:w="5494" w:type="dxa"/>
            <w:vAlign w:val="center"/>
            <w:textDirection w:val="lrTb"/>
            <w:noWrap w:val="false"/>
          </w:tcPr>
          <w:p>
            <w:pPr>
              <w:pStyle w:val="931"/>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助餐、助浴、助医、助洁、助急等居家养老服务。</w:t>
            </w:r>
            <w:r/>
          </w:p>
        </w:tc>
        <w:tc>
          <w:tcPr>
            <w:tcW w:w="2696" w:type="dxa"/>
            <w:vAlign w:val="center"/>
            <w:vMerge w:val="continue"/>
            <w:textDirection w:val="lrTb"/>
            <w:noWrap w:val="false"/>
          </w:tcPr>
          <w:p>
            <w:pPr>
              <w:pStyle w:val="931"/>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791"/>
        </w:trPr>
        <w:tc>
          <w:tcPr>
            <w:tcW w:w="2061" w:type="dxa"/>
            <w:vAlign w:val="center"/>
            <w:textDirection w:val="lrTb"/>
            <w:noWrap w:val="false"/>
          </w:tcPr>
          <w:p>
            <w:pPr>
              <w:pStyle w:val="931"/>
              <w:ind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150元</w:t>
            </w:r>
            <w:r/>
          </w:p>
        </w:tc>
        <w:tc>
          <w:tcPr>
            <w:tcW w:w="5494" w:type="dxa"/>
            <w:vAlign w:val="center"/>
            <w:textDirection w:val="lrTb"/>
            <w:noWrap w:val="false"/>
          </w:tcPr>
          <w:p>
            <w:pPr>
              <w:pStyle w:val="931"/>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助餐、助浴、助医、助洁、助急、代办服务、上门探视、生活照料、开设家庭养老床位等居家养老服务。</w:t>
            </w:r>
            <w:r/>
          </w:p>
        </w:tc>
        <w:tc>
          <w:tcPr>
            <w:tcW w:w="2696" w:type="dxa"/>
            <w:vAlign w:val="center"/>
            <w:vMerge w:val="continue"/>
            <w:textDirection w:val="lrTb"/>
            <w:noWrap w:val="false"/>
          </w:tcPr>
          <w:p>
            <w:pPr>
              <w:pStyle w:val="931"/>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80"/>
        </w:trPr>
        <w:tc>
          <w:tcPr>
            <w:tcW w:w="2061" w:type="dxa"/>
            <w:vAlign w:val="center"/>
            <w:textDirection w:val="lrTb"/>
            <w:noWrap w:val="false"/>
          </w:tcPr>
          <w:p>
            <w:pPr>
              <w:pStyle w:val="931"/>
              <w:ind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260元</w:t>
            </w:r>
            <w:r/>
          </w:p>
        </w:tc>
        <w:tc>
          <w:tcPr>
            <w:tcW w:w="5494" w:type="dxa"/>
            <w:vAlign w:val="center"/>
            <w:textDirection w:val="lrTb"/>
            <w:noWrap w:val="false"/>
          </w:tcPr>
          <w:p>
            <w:pPr>
              <w:pStyle w:val="931"/>
              <w:ind w:firstLine="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助餐、助浴、助医、助洁、助急、代办服务、上门探视、生活照料、康复护理、健康医疗、开设家庭养老床位等居家养老服务。</w:t>
            </w:r>
            <w:r/>
          </w:p>
        </w:tc>
        <w:tc>
          <w:tcPr>
            <w:tcW w:w="2696" w:type="dxa"/>
            <w:vAlign w:val="center"/>
            <w:vMerge w:val="continue"/>
            <w:textDirection w:val="lrTb"/>
            <w:noWrap w:val="false"/>
          </w:tcPr>
          <w:p>
            <w:pPr>
              <w:pStyle w:val="931"/>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80"/>
        </w:trPr>
        <w:tc>
          <w:tcPr>
            <w:tcW w:w="2061" w:type="dxa"/>
            <w:vAlign w:val="center"/>
            <w:textDirection w:val="lrTb"/>
            <w:noWrap w:val="false"/>
          </w:tcPr>
          <w:p>
            <w:pPr>
              <w:pStyle w:val="931"/>
              <w:ind w:firstLine="0"/>
              <w:jc w:val="cente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c>
          <w:tcPr>
            <w:gridSpan w:val="2"/>
            <w:tcW w:w="8190" w:type="dxa"/>
            <w:vAlign w:val="center"/>
            <w:textDirection w:val="lrTb"/>
            <w:noWrap w:val="false"/>
          </w:tcPr>
          <w:p>
            <w:pPr>
              <w:pStyle w:val="931"/>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1、各地在购买基本服务的同时，要根据老年人实际养老需求，不断充实完善购买基本养老服务内容；</w:t>
            </w:r>
            <w:r/>
          </w:p>
          <w:p>
            <w:pPr>
              <w:pStyle w:val="931"/>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2、购买服务标准以实际小时中标单价实施，对不以服务小时计算的服务内容，其服务收费标准应由招标方与中标方共同商定，并签定服务协议，在社区向老年人及社会进行公示， 切实满足广大老年人实际需求；</w:t>
            </w:r>
            <w:r/>
          </w:p>
          <w:p>
            <w:pPr>
              <w:pStyle w:val="931"/>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3、根据第三方开展养老服务实际，积极鼓励开设家庭养老床位建设，对符合养老机构备案条件的，各地民政部门应予以备案并列入养老机构管理。</w:t>
            </w:r>
            <w:r/>
          </w:p>
        </w:tc>
      </w:tr>
    </w:tbl>
    <w:p>
      <w:pPr>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、服务要求</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1、服务人员要求：</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服务团队需明确一名项目负责人，项目负责人具备一定的管理和服务能力，针对不同服务类别为服务人员提供专业的指导。项目负责人不得随意更换或挂名履职。成交单位负责组建一支专业的养老护理员队伍。投入本项目的服务人员不得少于10人，需签订劳动合同，包含不限于护士、社工、养老护理员等工种。</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单位须要定期组织养老护理员培训，队伍须熟练掌握专业的养老服务知识、方法和技能。养老护理员服务后还需填写服务记录表，记录表要体现出服务项目、服务时间、服务效果等内容，同时记录表需双方签字认可（不会签字的可以按手印）；</w:t>
      </w:r>
      <w:r/>
    </w:p>
    <w:p>
      <w:pPr>
        <w:numPr>
          <w:ilvl w:val="0"/>
          <w:numId w:val="6"/>
        </w:num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明确时间要求：</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龄老人上门服务每月不少于1次，月服务总时间不少于2小时；困难老人上门服务自理老人每月不少于1次，月服务总时间不少于3小时；半失能老人每月不少于2次，月服务总时间不少于5小时；失能老人每月不少于4次，月服务总时间不少于8小时。服务的时间和次数也可根据老人所选服务套餐或者服务项目而定，需满足老年人多样化需求，服务项目每人每年3样以上。居家养老上门服务时长单次达不到1小时的(助餐除外)，均以废单处理，需重新上门服务。</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3、规范服务流程：</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接到老人服务需求后，通过邗江区统一使用的智慧养老服务平台系统派出服务工单，服务人员使用智慧养老服务APP上门服务，服务前扫二维码签入，服务结束后签出并通过POS机或专用APP刷市民卡进行消费扣款结算，最后供应商需要对所有完成的工单进行满意度回访。</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人员服务后需填写服务记录表，记录表要体现出服务项目、服务时间、服务效果等内容，同时记录表需双方签字认可。成交单位负责对服务过程进行有效监管，并对服务人员记录表定期进行收集整理、登记建档，档案要完整、详实、可查。</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4、其他要求：</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对于服务人员的聘用要严格把关，要对服务人员集中开展文明礼仪和业务技能的培训，培训不合格人员不得上岗，不断提高服务人员综合素质和服务形象。上门服务人员要统一着装，佩带工作牌，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（2）供应商每月底向甲方汇报上门服务情况，如有协议期限内不需要服务的老年人及时告知所属的社区备案并上报甲方。</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（3）按照区民政部门对居家养老服务的要求进行操作，配备相应的硬件软件，在上门服务时进行系统打卡，保证系统后台数据接收畅通和月度服务数据正常上交。</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（4）制定完善的管理制度、合理的薪资标准，符合劳动法等相关法律法规规定。</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（5）落实相关安全管理要求，确保服务过程中服务对象及服务人员的人身安全。</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配合甲方加强购买服务人员动态管理。配合做好居家养老上门服务对象的增减工作。对接受服务中的老年人，要实现村(社区)、服务人员、供应商、镇（街道）四方信息互通有无，定期核实居家养老上门服务对象真实情况，如发现有老人过世、迁出或其他不符合服务条件的情况，应立即核销平台人员信息、停止提供服务，并上报村(社区)和镇（街道）进行复核增减。</w:t>
      </w:r>
      <w:r/>
    </w:p>
    <w:p>
      <w:pPr>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五、考核和签约</w:t>
      </w:r>
      <w:r/>
    </w:p>
    <w:p>
      <w:pPr>
        <w:ind w:firstLine="422"/>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1、考核办法:</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（1）采购人根据成交供应商运营管理情况每季度对供应商考核一次，考核办法由采购人与成交供应商根据采购文件及成交后的响应文件商榷后制定，考核情况与运营费用给付挂钩，考核连续两次不达标，</w:t>
      </w:r>
      <w:r>
        <w:rPr>
          <w:rFonts w:hint="eastAsia" w:ascii="宋体" w:hAnsi="宋体" w:cs="宋体"/>
          <w:color w:val="000000"/>
          <w:sz w:val="21"/>
          <w:szCs w:val="21"/>
          <w:highlight w:val="none"/>
          <w:lang w:val="en-US" w:eastAsia="zh-CN"/>
        </w:rPr>
        <w:t xml:space="preserve">解除合同</w:t>
      </w:r>
      <w:r>
        <w:rPr>
          <w:rFonts w:hint="eastAsia" w:ascii="宋体" w:hAnsi="宋体" w:eastAsia="宋体" w:cs="宋体"/>
          <w:color w:val="000000"/>
          <w:sz w:val="21"/>
          <w:szCs w:val="21"/>
          <w:highlight w:val="none"/>
        </w:rPr>
        <w:t xml:space="preserve">。</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（2）每季度区级统一监管平台进行一次线下服务对象满意度调查，采购人将区平台回访和满意度调查结果纳入对服务商的考核范畴内，确保服务行为规范、有序、务实、高效,维护广大老年人的权益。</w:t>
      </w:r>
      <w:r/>
    </w:p>
    <w:p>
      <w:pPr>
        <w:pStyle w:val="916"/>
        <w:ind w:firstLine="420"/>
        <w:keepLines w:val="0"/>
        <w:keepNext w:val="0"/>
        <w:pageBreakBefore w:val="0"/>
        <w:spacing w:after="0"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（3）成交供应商</w:t>
      </w:r>
      <w:r>
        <w:rPr>
          <w:rFonts w:hint="eastAsia" w:ascii="宋体" w:hAnsi="宋体" w:eastAsia="宋体" w:cs="宋体"/>
          <w:color w:val="000000"/>
          <w:sz w:val="21"/>
          <w:szCs w:val="21"/>
          <w:highlight w:val="none"/>
          <w:lang w:val="zh-TW" w:eastAsia="zh-CN" w:bidi="ar-SA"/>
        </w:rPr>
        <w:t xml:space="preserve">如有工作人员在服务过程中，存在刷单行为。所刷工单，</w:t>
      </w:r>
      <w:r>
        <w:rPr>
          <w:rFonts w:hint="eastAsia" w:ascii="宋体" w:hAnsi="宋体" w:eastAsia="宋体" w:cs="宋体"/>
          <w:color w:val="000000"/>
          <w:sz w:val="21"/>
          <w:szCs w:val="21"/>
          <w:highlight w:val="none"/>
          <w:lang w:val="en-US" w:eastAsia="zh-CN" w:bidi="ar-SA"/>
        </w:rPr>
        <w:t xml:space="preserve">采购人</w:t>
      </w:r>
      <w:r>
        <w:rPr>
          <w:rFonts w:hint="eastAsia" w:ascii="宋体" w:hAnsi="宋体" w:eastAsia="宋体" w:cs="宋体"/>
          <w:color w:val="000000"/>
          <w:sz w:val="21"/>
          <w:szCs w:val="21"/>
          <w:highlight w:val="none"/>
          <w:lang w:val="zh-TW" w:eastAsia="zh-CN" w:bidi="ar-SA"/>
        </w:rPr>
        <w:t xml:space="preserve">一经发现，将全部予以作废，并对所发现的刷单行为，每单处以</w:t>
      </w:r>
      <w:r>
        <w:rPr>
          <w:rFonts w:hint="eastAsia" w:ascii="宋体" w:hAnsi="宋体" w:cs="宋体"/>
          <w:color w:val="000000"/>
          <w:sz w:val="21"/>
          <w:szCs w:val="21"/>
          <w:highlight w:val="none"/>
          <w:lang w:val="en-US" w:eastAsia="zh-CN" w:bidi="ar-SA"/>
        </w:rPr>
        <w:t xml:space="preserve">当期应付款总额</w:t>
      </w:r>
      <w:r>
        <w:rPr>
          <w:rFonts w:hint="eastAsia" w:ascii="宋体" w:hAnsi="宋体" w:eastAsia="宋体" w:cs="宋体"/>
          <w:color w:val="000000"/>
          <w:sz w:val="21"/>
          <w:szCs w:val="21"/>
          <w:highlight w:val="none"/>
          <w:lang w:val="en-US" w:eastAsia="zh-CN" w:bidi="ar-SA"/>
        </w:rPr>
        <w:t xml:space="preserve">的</w:t>
      </w:r>
      <w:r>
        <w:rPr>
          <w:rFonts w:hint="eastAsia" w:ascii="宋体" w:hAnsi="宋体" w:cs="宋体"/>
          <w:color w:val="000000"/>
          <w:sz w:val="21"/>
          <w:szCs w:val="21"/>
          <w:highlight w:val="none"/>
          <w:lang w:val="en-US" w:eastAsia="zh-CN" w:bidi="ar-SA"/>
        </w:rPr>
        <w:t xml:space="preserve">0.2%</w:t>
      </w:r>
      <w:r>
        <w:rPr>
          <w:rFonts w:hint="eastAsia" w:ascii="宋体" w:hAnsi="宋体" w:eastAsia="宋体" w:cs="宋体"/>
          <w:color w:val="000000"/>
          <w:sz w:val="21"/>
          <w:szCs w:val="21"/>
          <w:highlight w:val="none"/>
          <w:lang w:val="en-US" w:eastAsia="zh-CN" w:bidi="ar-SA"/>
        </w:rPr>
        <w:t xml:space="preserve">资金处罚</w:t>
      </w:r>
      <w:r>
        <w:rPr>
          <w:rFonts w:hint="eastAsia" w:ascii="宋体" w:hAnsi="宋体" w:eastAsia="宋体" w:cs="宋体"/>
          <w:color w:val="000000"/>
          <w:sz w:val="21"/>
          <w:szCs w:val="21"/>
          <w:highlight w:val="none"/>
          <w:lang w:val="en-US" w:eastAsia="zh-CN" w:bidi="zh-TW"/>
        </w:rPr>
        <w:t xml:space="preserve">。</w:t>
      </w:r>
      <w:r/>
    </w:p>
    <w:p>
      <w:pPr>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六、其他要求</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1、成交单位的服务人员要统一服从采购单位的监管。</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2、成交单位具备居家上门服务质量内控管理系统，对服务辖区内服务质量进行质控。</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3、服务机构应根据采购单位需求，无条件配合采购单位向辖区独居、空巢、留守、失能 (失智)、计划生育特殊家庭等特殊困难老年人进行关爱探访服务。</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4、采购人除服务费用之外不再承担其它任何费用，服务人员的薪金、福利、休假日补贴、医疗费用、与工作相关的意外事故所产生的费用等均由成交单位负责，与采购人无关。</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服务价格应包括拟提供服务验收合格及之前所有含税费用，报价包括但并不仅限于完成本项目服务所需的人员工资、交通运输费、设备费、办公费、管理费、税金、合理利润及不可预见等所有费用。报价还应包含乙方应当提供的伴随服务。</w:t>
      </w:r>
      <w:r/>
    </w:p>
    <w:p>
      <w:pPr>
        <w:ind w:firstLine="436"/>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i/>
          <w:iCs/>
          <w:color w:val="000000"/>
          <w:spacing w:val="4"/>
          <w:sz w:val="21"/>
          <w:szCs w:val="21"/>
          <w:highlight w:val="none"/>
          <w:u w:val="single"/>
        </w:rPr>
        <w:t xml:space="preserve">人员工资不得低于扬州市区最低工资标准或非全日制用工小时最低工资标准。</w:t>
      </w:r>
      <w:r/>
    </w:p>
    <w:p>
      <w:pPr>
        <w:pStyle w:val="740"/>
        <w:numPr>
          <w:ilvl w:val="0"/>
          <w:numId w:val="0"/>
        </w:num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成交单位必须按照《居家养老上门服务基本规范》国家标准(GB/T 43153-2023)进行服务。</w:t>
      </w:r>
      <w:r/>
    </w:p>
    <w:p>
      <w:pPr>
        <w:numPr>
          <w:ilvl w:val="0"/>
          <w:numId w:val="0"/>
        </w:num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未经</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事先书面同意，</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rPr>
        <w:t xml:space="preserve">不得将由</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提供的有关合同或任何合同条文、规格、计划或者资料提供给任何第三方。即使向履行本合同有关的人员提供，也应该注意保密并限于履行合同的必需范围，否则需承担违约责任。</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bidi="zh-TW"/>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保证其在提供缔约、提供服务过程中不侵害任何第三方的知识产权（包括但不限于照片、画像、音像、电子图书、电影电视片、博客微博微信微电影等网络传播内容等著作权，设计、包装新型等专利权，服务标准、服务技术文件、服务手册等商业秘密）；</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bidi="zh-TW"/>
        </w:rPr>
      </w:pPr>
      <w:r>
        <w:rPr>
          <w:rFonts w:hint="eastAsia" w:ascii="宋体" w:hAnsi="宋体" w:cs="宋体"/>
          <w:color w:val="000000"/>
          <w:sz w:val="21"/>
          <w:szCs w:val="21"/>
          <w:highlight w:val="none"/>
          <w:lang w:val="en-US" w:eastAsia="zh-CN" w:bidi="zh-TW"/>
        </w:rPr>
        <w:t xml:space="preserve">9</w:t>
      </w:r>
      <w:r>
        <w:rPr>
          <w:rFonts w:hint="eastAsia" w:ascii="宋体" w:hAnsi="宋体" w:eastAsia="宋体" w:cs="宋体"/>
          <w:color w:val="000000"/>
          <w:sz w:val="21"/>
          <w:szCs w:val="21"/>
          <w:highlight w:val="none"/>
          <w:lang w:val="en-US" w:eastAsia="zh-CN" w:bidi="zh-TW"/>
        </w:rPr>
        <w:t xml:space="preserve">、</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保证其在宣传、广告及与第三方合作过程中，不得使用</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以及</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下属单位或</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投资（实际控制）的公司、组织身份与信息；</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bidi="zh-TW"/>
        </w:rPr>
      </w:pPr>
      <w:r>
        <w:rPr>
          <w:rFonts w:hint="eastAsia" w:ascii="宋体" w:hAnsi="宋体" w:eastAsia="宋体" w:cs="宋体"/>
          <w:color w:val="000000"/>
          <w:sz w:val="21"/>
          <w:szCs w:val="21"/>
          <w:highlight w:val="none"/>
          <w:lang w:val="en-US" w:eastAsia="zh-CN" w:bidi="zh-TW"/>
        </w:rPr>
        <w:t xml:space="preserve">1</w:t>
      </w:r>
      <w:r>
        <w:rPr>
          <w:rFonts w:hint="eastAsia" w:ascii="宋体" w:hAnsi="宋体" w:cs="宋体"/>
          <w:color w:val="000000"/>
          <w:sz w:val="21"/>
          <w:szCs w:val="21"/>
          <w:highlight w:val="none"/>
          <w:lang w:val="en-US" w:eastAsia="zh-CN" w:bidi="zh-TW"/>
        </w:rPr>
        <w:t xml:space="preserve">0</w:t>
      </w:r>
      <w:r>
        <w:rPr>
          <w:rFonts w:hint="eastAsia" w:ascii="宋体" w:hAnsi="宋体" w:eastAsia="宋体" w:cs="宋体"/>
          <w:color w:val="000000"/>
          <w:sz w:val="21"/>
          <w:szCs w:val="21"/>
          <w:highlight w:val="none"/>
          <w:lang w:val="en-US" w:eastAsia="zh-CN" w:bidi="zh-TW"/>
        </w:rPr>
        <w:t xml:space="preserve">、</w:t>
      </w:r>
      <w:r>
        <w:rPr>
          <w:rFonts w:hint="eastAsia" w:ascii="宋体" w:hAnsi="宋体" w:eastAsia="宋体" w:cs="宋体"/>
          <w:color w:val="000000"/>
          <w:sz w:val="21"/>
          <w:szCs w:val="21"/>
          <w:highlight w:val="none"/>
          <w:lang w:bidi="zh-TW"/>
        </w:rPr>
        <w:t xml:space="preserve">一旦</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涉嫌侵害第三方知识产权涉诉或被权利人通知停止侵权，</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需立即依法处理所涉纠纷，并确保使</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免于牵涉其中或承担责任；</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bidi="zh-TW"/>
        </w:rPr>
      </w:pPr>
      <w:r>
        <w:rPr>
          <w:rFonts w:hint="eastAsia" w:ascii="宋体" w:hAnsi="宋体" w:cs="宋体"/>
          <w:color w:val="000000"/>
          <w:sz w:val="21"/>
          <w:szCs w:val="21"/>
          <w:highlight w:val="none"/>
          <w:lang w:val="en-US" w:eastAsia="zh-CN" w:bidi="zh-TW"/>
        </w:rPr>
        <w:t xml:space="preserve">11</w:t>
      </w:r>
      <w:r>
        <w:rPr>
          <w:rFonts w:hint="eastAsia" w:ascii="宋体" w:hAnsi="宋体" w:eastAsia="宋体" w:cs="宋体"/>
          <w:color w:val="000000"/>
          <w:sz w:val="21"/>
          <w:szCs w:val="21"/>
          <w:highlight w:val="none"/>
          <w:lang w:val="en-US" w:eastAsia="zh-CN" w:bidi="zh-TW"/>
        </w:rPr>
        <w:t xml:space="preserve">、</w:t>
      </w:r>
      <w:r>
        <w:rPr>
          <w:rFonts w:hint="eastAsia" w:ascii="宋体" w:hAnsi="宋体" w:eastAsia="宋体" w:cs="宋体"/>
          <w:color w:val="000000"/>
          <w:sz w:val="21"/>
          <w:szCs w:val="21"/>
          <w:highlight w:val="none"/>
          <w:lang w:bidi="zh-TW"/>
        </w:rPr>
        <w:t xml:space="preserve">因</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原因致使</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被第三方起诉或被要求承担责任，</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需无条件承担、赔偿</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为此而产生的损失和损害、费用和支出（包括律师费、交通差旅食宿费等费用）；</w:t>
      </w:r>
      <w:r>
        <w:rPr>
          <w:rFonts w:hint="eastAsia" w:ascii="宋体" w:hAnsi="宋体" w:eastAsia="宋体" w:cs="宋体"/>
          <w:color w:val="000000"/>
          <w:sz w:val="21"/>
          <w:szCs w:val="21"/>
          <w:highlight w:val="none"/>
          <w:lang w:val="en-US" w:eastAsia="zh-CN"/>
        </w:rPr>
        <w:t xml:space="preserve">成交供应商</w:t>
      </w:r>
      <w:r>
        <w:rPr>
          <w:rFonts w:hint="eastAsia" w:ascii="宋体" w:hAnsi="宋体" w:eastAsia="宋体" w:cs="宋体"/>
          <w:color w:val="000000"/>
          <w:sz w:val="21"/>
          <w:szCs w:val="21"/>
          <w:highlight w:val="none"/>
          <w:lang w:bidi="zh-TW"/>
        </w:rPr>
        <w:t xml:space="preserve">使用</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下属单位或</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投资（实际控制）的公司、组织身份与信息进行商业活动的，除需承担违约责任并赔偿甲方损失外，</w:t>
      </w:r>
      <w:r>
        <w:rPr>
          <w:rFonts w:hint="eastAsia" w:ascii="宋体" w:hAnsi="宋体" w:eastAsia="宋体" w:cs="宋体"/>
          <w:color w:val="000000"/>
          <w:sz w:val="21"/>
          <w:szCs w:val="21"/>
          <w:highlight w:val="none"/>
          <w:lang w:val="en-US" w:eastAsia="zh-CN" w:bidi="zh-TW"/>
        </w:rPr>
        <w:t xml:space="preserve">采购人</w:t>
      </w:r>
      <w:r>
        <w:rPr>
          <w:rFonts w:hint="eastAsia" w:ascii="宋体" w:hAnsi="宋体" w:eastAsia="宋体" w:cs="宋体"/>
          <w:color w:val="000000"/>
          <w:sz w:val="21"/>
          <w:szCs w:val="21"/>
          <w:highlight w:val="none"/>
          <w:lang w:bidi="zh-TW"/>
        </w:rPr>
        <w:t xml:space="preserve">有权利解除本合同。</w:t>
      </w:r>
      <w:r/>
    </w:p>
    <w:p>
      <w:pPr>
        <w:pStyle w:val="714"/>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714"/>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pStyle w:val="907"/>
        <w:jc w:val="center"/>
        <w:spacing w:line="360" w:lineRule="auto"/>
        <w:rPr>
          <w:rFonts w:ascii="宋体" w:hAnsi="宋体" w:cs="宋体"/>
          <w:color w:val="auto"/>
          <w:highlight w:val="none"/>
        </w:rPr>
      </w:pPr>
      <w:r>
        <w:rPr>
          <w:rFonts w:hint="eastAsia" w:ascii="宋体" w:hAnsi="宋体" w:cs="宋体"/>
          <w:color w:val="auto"/>
          <w:sz w:val="36"/>
          <w:szCs w:val="36"/>
          <w:highlight w:val="none"/>
        </w:rPr>
        <w:t xml:space="preserve">第五章 评审方法及评审标准</w:t>
      </w:r>
      <w:bookmarkEnd w:id="25"/>
      <w:r/>
      <w:r/>
    </w:p>
    <w:p>
      <w:pPr>
        <w:pStyle w:val="945"/>
        <w:ind w:firstLine="422"/>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ascii="宋体" w:hAnsi="宋体" w:cs="宋体"/>
          <w:color w:val="auto"/>
          <w:szCs w:val="21"/>
          <w:highlight w:val="none"/>
        </w:rPr>
      </w:pPr>
      <w:r/>
      <w:bookmarkStart w:id="26" w:name="_Toc449016388"/>
      <w:r/>
      <w:bookmarkStart w:id="27" w:name="_Toc449017024"/>
      <w:r>
        <w:rPr>
          <w:rFonts w:hint="eastAsia" w:ascii="宋体" w:hAnsi="宋体" w:cs="宋体"/>
          <w:b/>
          <w:color w:val="auto"/>
          <w:szCs w:val="21"/>
          <w:highlight w:val="none"/>
        </w:rPr>
        <w:t xml:space="preserve">二、政府采购政策功能落实</w:t>
      </w:r>
      <w:bookmarkEnd w:id="26"/>
      <w:r/>
      <w:bookmarkEnd w:id="27"/>
      <w:r>
        <w:rPr>
          <w:rFonts w:hint="eastAsia" w:ascii="宋体" w:hAnsi="宋体" w:cs="宋体"/>
          <w:b/>
          <w:color w:val="auto"/>
          <w:szCs w:val="21"/>
          <w:highlight w:val="none"/>
        </w:rPr>
        <w:t xml:space="preserve">：本项目专门面向中小企业采购。</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1、中小企业</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（1）供应商需按照磋商文件的要求提供相应的《中小企业声明函》。</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（2）企业标准请参照《关于印发中小企业划型标准规定的通知》（工信部联企业[2011]300号）文件规定自行填写。</w:t>
      </w:r>
      <w:r/>
    </w:p>
    <w:p>
      <w:pPr>
        <w:ind w:firstLine="420"/>
        <w:spacing w:line="360" w:lineRule="auto"/>
        <w:rPr>
          <w:rFonts w:ascii="宋体" w:hAnsi="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2"/>
          <w:highlight w:val="none"/>
        </w:rPr>
        <w:t xml:space="preserve">2、残疾人福利单位</w:t>
      </w:r>
      <w:r/>
    </w:p>
    <w:p>
      <w:pPr>
        <w:ind w:firstLine="420"/>
        <w:spacing w:line="360" w:lineRule="auto"/>
        <w:rPr>
          <w:rFonts w:ascii="宋体" w:hAnsi="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2"/>
          <w:highlight w:val="none"/>
        </w:rPr>
        <w:t xml:space="preserve">（1）本项目对残疾人福利性单位视同小型、微型企业。</w:t>
      </w:r>
      <w:r/>
    </w:p>
    <w:p>
      <w:pPr>
        <w:ind w:firstLine="420"/>
        <w:spacing w:line="360" w:lineRule="auto"/>
        <w:rPr>
          <w:rFonts w:ascii="宋体" w:hAnsi="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2"/>
          <w:highlight w:val="none"/>
        </w:rPr>
        <w:t xml:space="preserve">（2）残疾人福利单位需按照采购文件的要求提供《残疾人福利性单位声明函》。</w:t>
      </w:r>
      <w:r/>
    </w:p>
    <w:p>
      <w:pPr>
        <w:ind w:firstLine="420"/>
        <w:spacing w:line="360" w:lineRule="auto"/>
        <w:rPr>
          <w:rFonts w:ascii="宋体" w:hAnsi="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2"/>
          <w:highlight w:val="none"/>
        </w:rPr>
        <w:t xml:space="preserve">（3）残疾人福利单位标准请参照《关于促进残疾人就业政府采购政策的通知》（财库〔2017〕141号）。</w:t>
      </w:r>
      <w:r/>
    </w:p>
    <w:p>
      <w:pPr>
        <w:ind w:firstLine="420"/>
        <w:spacing w:line="360" w:lineRule="auto"/>
        <w:rPr>
          <w:rFonts w:ascii="宋体" w:hAnsi="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2"/>
          <w:highlight w:val="none"/>
        </w:rPr>
        <w:t xml:space="preserve">3、监狱和戒毒企业</w:t>
      </w:r>
      <w:r/>
    </w:p>
    <w:p>
      <w:pPr>
        <w:ind w:firstLine="420"/>
        <w:spacing w:line="360" w:lineRule="auto"/>
        <w:rPr>
          <w:rFonts w:ascii="宋体" w:hAnsi="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2"/>
          <w:highlight w:val="none"/>
        </w:rPr>
        <w:t xml:space="preserve">（1）本项目对监狱和戒毒企业（简称监狱企业）视同小型、微型企业。</w:t>
      </w:r>
      <w:r/>
    </w:p>
    <w:p>
      <w:pPr>
        <w:ind w:firstLine="420"/>
        <w:spacing w:line="360" w:lineRule="auto"/>
        <w:rPr>
          <w:rFonts w:ascii="宋体" w:hAnsi="宋体" w:cs="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2"/>
          <w:highlight w:val="none"/>
        </w:rPr>
        <w:t xml:space="preserve">（2）监狱企业参加政府采购活动时，需提供由省级以上监狱管理局、戒毒管理局(含新疆生产建设兵团)出具的属于监狱企业的证明文件。</w:t>
      </w:r>
      <w:r/>
    </w:p>
    <w:p>
      <w:pPr>
        <w:ind w:firstLine="420"/>
        <w:spacing w:line="360" w:lineRule="auto"/>
        <w:rPr>
          <w:rFonts w:ascii="宋体" w:hAnsi="宋体" w:cs="宋体"/>
          <w:b w:val="0"/>
          <w:bCs w:val="0"/>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2"/>
          <w:highlight w:val="none"/>
        </w:rPr>
        <w:t xml:space="preserve">（3）监狱企业标准请参照《关于政府采购支持监狱企业发展有关问题的通知》（财库[2014]68号）。</w:t>
      </w:r>
      <w:r/>
    </w:p>
    <w:p>
      <w:pPr>
        <w:ind w:firstLine="42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4、根据《江苏省政府采购供应商监督管理暂行办法》的规定，诚信记录分每减</w:t>
      </w:r>
      <w:r>
        <w:rPr>
          <w:rFonts w:hint="eastAsia" w:ascii="宋体" w:hAnsi="宋体" w:cs="宋体"/>
          <w:color w:val="auto"/>
          <w:highlight w:val="none"/>
        </w:rPr>
        <w:t xml:space="preserve">10</w:t>
      </w:r>
      <w:r>
        <w:rPr>
          <w:rFonts w:hint="eastAsia" w:ascii="宋体" w:hAnsi="宋体" w:cs="宋体"/>
          <w:color w:val="auto"/>
          <w:sz w:val="22"/>
          <w:highlight w:val="none"/>
        </w:rPr>
        <w:t xml:space="preserve">分，给予本项目总分值2%的扣分，扣分最多不超过本项目总分值6%。</w:t>
      </w:r>
      <w:r/>
    </w:p>
    <w:p>
      <w:pPr>
        <w:pStyle w:val="945"/>
        <w:ind w:firstLine="420"/>
        <w:rPr>
          <w:rFonts w:ascii="宋体" w:hAnsi="宋体" w:cs="宋体"/>
          <w:color w:val="auto"/>
          <w:spacing w:val="-6"/>
          <w:sz w:val="21"/>
          <w:szCs w:val="21"/>
          <w:highlight w:val="none"/>
        </w:rPr>
      </w:pPr>
      <w:r>
        <w:rPr>
          <w:rFonts w:ascii="宋体" w:hAnsi="宋体" w:cs="宋体"/>
          <w:color w:val="auto"/>
          <w:spacing w:val="-6"/>
          <w:sz w:val="21"/>
          <w:szCs w:val="21"/>
          <w:highlight w:val="none"/>
        </w:rPr>
      </w:r>
      <w:r/>
    </w:p>
    <w:p>
      <w:pPr>
        <w:pStyle w:val="945"/>
        <w:ind w:firstLine="420"/>
        <w:rPr>
          <w:rFonts w:ascii="宋体" w:hAnsi="宋体" w:cs="宋体"/>
          <w:color w:val="auto"/>
          <w:spacing w:val="-6"/>
          <w:sz w:val="21"/>
          <w:szCs w:val="21"/>
          <w:highlight w:val="none"/>
        </w:rPr>
      </w:pPr>
      <w:r>
        <w:rPr>
          <w:rFonts w:ascii="宋体" w:hAnsi="宋体" w:cs="宋体"/>
          <w:color w:val="auto"/>
          <w:spacing w:val="-6"/>
          <w:sz w:val="21"/>
          <w:szCs w:val="21"/>
          <w:highlight w:val="none"/>
        </w:rPr>
      </w:r>
      <w:r/>
    </w:p>
    <w:p>
      <w:pPr>
        <w:pStyle w:val="945"/>
        <w:ind w:firstLine="396"/>
        <w:rPr>
          <w:rFonts w:ascii="宋体" w:hAnsi="宋体" w:cs="宋体"/>
          <w:color w:val="auto"/>
          <w:spacing w:val="-6"/>
          <w:sz w:val="21"/>
          <w:szCs w:val="21"/>
          <w:highlight w:val="none"/>
        </w:rPr>
      </w:pPr>
      <w:r>
        <w:rPr>
          <w:rFonts w:ascii="宋体" w:hAnsi="宋体" w:cs="宋体"/>
          <w:color w:val="auto"/>
          <w:spacing w:val="-6"/>
          <w:sz w:val="21"/>
          <w:szCs w:val="21"/>
          <w:highlight w:val="none"/>
        </w:rPr>
      </w:r>
      <w:r/>
    </w:p>
    <w:p>
      <w:pPr>
        <w:numPr>
          <w:ilvl w:val="0"/>
          <w:numId w:val="0"/>
        </w:numPr>
        <w:jc w:val="left"/>
        <w:spacing w:before="120" w:after="120"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numPr>
          <w:ilvl w:val="0"/>
          <w:numId w:val="0"/>
        </w:numPr>
        <w:jc w:val="left"/>
        <w:spacing w:before="120" w:after="120"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numPr>
          <w:ilvl w:val="0"/>
          <w:numId w:val="0"/>
        </w:numPr>
        <w:jc w:val="left"/>
        <w:spacing w:before="120" w:after="120"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numPr>
          <w:ilvl w:val="0"/>
          <w:numId w:val="0"/>
        </w:numPr>
        <w:jc w:val="left"/>
        <w:spacing w:before="120" w:after="120"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三、</w:t>
      </w:r>
      <w:r>
        <w:rPr>
          <w:rFonts w:hint="eastAsia" w:ascii="宋体" w:hAnsi="宋体" w:cs="宋体"/>
          <w:b/>
          <w:color w:val="auto"/>
          <w:szCs w:val="21"/>
          <w:highlight w:val="none"/>
        </w:rPr>
        <w:t xml:space="preserve">评审标准</w:t>
      </w:r>
      <w:r/>
    </w:p>
    <w:tbl>
      <w:tblPr>
        <w:tblStyle w:val="705"/>
        <w:tblW w:w="10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9"/>
        <w:gridCol w:w="8709"/>
      </w:tblGrid>
      <w:tr>
        <w:trPr>
          <w:jc w:val="center"/>
          <w:trHeight w:val="562"/>
        </w:trPr>
        <w:tc>
          <w:tcPr>
            <w:tcW w:w="1379" w:type="dxa"/>
            <w:vAlign w:val="center"/>
            <w:textDirection w:val="lrTb"/>
            <w:noWrap w:val="false"/>
          </w:tcPr>
          <w:p>
            <w:pPr>
              <w:jc w:val="center"/>
              <w:spacing w:line="440" w:lineRule="exact"/>
              <w:widowControl/>
              <w:rPr>
                <w:rFonts w:hint="eastAsia" w:ascii="宋体" w:hAnsi="宋体" w:cs="宋体"/>
                <w:color w:val="000000"/>
                <w:szCs w:val="21"/>
                <w:highlight w:val="none"/>
              </w:rPr>
            </w:pPr>
            <w:r/>
            <w:bookmarkStart w:id="28" w:name="_Toc109304976"/>
            <w:r>
              <w:rPr>
                <w:rFonts w:hint="eastAsia" w:ascii="宋体" w:hAnsi="宋体" w:cs="宋体"/>
                <w:color w:val="000000"/>
                <w:szCs w:val="21"/>
                <w:highlight w:val="none"/>
              </w:rPr>
              <w:t xml:space="preserve">项目</w:t>
            </w:r>
            <w:r/>
          </w:p>
        </w:tc>
        <w:tc>
          <w:tcPr>
            <w:tcW w:w="8709" w:type="dxa"/>
            <w:vAlign w:val="center"/>
            <w:textDirection w:val="lrTb"/>
            <w:noWrap w:val="false"/>
          </w:tcPr>
          <w:p>
            <w:pPr>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评分标准</w:t>
            </w:r>
            <w:r/>
          </w:p>
        </w:tc>
      </w:tr>
      <w:tr>
        <w:trPr>
          <w:jc w:val="center"/>
          <w:trHeight w:val="1367"/>
        </w:trPr>
        <w:tc>
          <w:tcPr>
            <w:tcW w:w="1379" w:type="dxa"/>
            <w:vAlign w:val="center"/>
            <w:textDirection w:val="lrTb"/>
            <w:noWrap w:val="false"/>
          </w:tcPr>
          <w:p>
            <w:pPr>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w:t>
            </w:r>
            <w:r/>
          </w:p>
          <w:p>
            <w:pPr>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p>
        </w:tc>
        <w:tc>
          <w:tcPr>
            <w:tcW w:w="8709" w:type="dxa"/>
            <w:vAlign w:val="center"/>
            <w:textDirection w:val="lrTb"/>
            <w:noWrap w:val="false"/>
          </w:tcPr>
          <w:p>
            <w:pPr>
              <w:ind w:firstLine="420"/>
              <w:jc w:val="left"/>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采用低价优先法计算，以满足磋商文件要求且磋商价格最低的磋商报价为评标基准价，其价格为满分2</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分。其他供应商的价格分统一按照下列公式计算：磋商报价得分=（评标基准价/其他磋商报价）×2</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×100%。（保留两位小数）</w:t>
            </w:r>
            <w:r/>
          </w:p>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评标委员会认为投标人的报价明显低于其他通过符合性审查投标人的报价，有可能影响产品质量或者不能诚信履约的，且投标人不能在评标现场合理的时间内证明其报价合理性的，评标委员会有权将其作为无效投标处理。</w:t>
            </w:r>
            <w:r/>
          </w:p>
        </w:tc>
      </w:tr>
      <w:tr>
        <w:trPr>
          <w:jc w:val="center"/>
          <w:trHeight w:val="1367"/>
        </w:trPr>
        <w:tc>
          <w:tcPr>
            <w:tcW w:w="1379" w:type="dxa"/>
            <w:vAlign w:val="center"/>
            <w:vMerge w:val="restart"/>
            <w:textDirection w:val="lrTb"/>
            <w:noWrap w:val="false"/>
          </w:tcPr>
          <w:p>
            <w:pPr>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服务方案</w:t>
            </w:r>
            <w:r/>
          </w:p>
          <w:p>
            <w:pPr>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（45分）</w:t>
            </w:r>
            <w:r/>
          </w:p>
        </w:tc>
        <w:tc>
          <w:tcPr>
            <w:tcW w:w="8709" w:type="dxa"/>
            <w:vAlign w:val="top"/>
            <w:textDirection w:val="lrTb"/>
            <w:noWrap w:val="false"/>
          </w:tcPr>
          <w:p>
            <w:pPr>
              <w:spacing w:line="44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个性化服务方案。供应商能够根据需要服务的不同类型的老人实际情况合理制定适合的服务方案。（9分）</w:t>
            </w:r>
            <w:r/>
          </w:p>
          <w:p>
            <w:pP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完整、细致，符合项目需求，可操作性强得9分；方案较完整、较细致，基本符合项目需求，可操作性较强的得7分；方案不完整、不细致，与项目需求响应度低，可操作性一般的得4分；方案较差的得1分；其余不得分。</w:t>
            </w:r>
            <w:r/>
          </w:p>
        </w:tc>
      </w:tr>
      <w:tr>
        <w:trPr>
          <w:jc w:val="center"/>
          <w:trHeight w:val="469"/>
        </w:trPr>
        <w:tc>
          <w:tcPr>
            <w:tcW w:w="1379" w:type="dxa"/>
            <w:vAlign w:val="center"/>
            <w:vMerge w:val="continue"/>
            <w:textDirection w:val="lrTb"/>
            <w:noWrap w:val="false"/>
          </w:tcPr>
          <w:p>
            <w:pPr>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8709" w:type="dxa"/>
            <w:vAlign w:val="top"/>
            <w:textDirection w:val="lrTb"/>
            <w:noWrap w:val="false"/>
          </w:tcPr>
          <w:p>
            <w:pPr>
              <w:spacing w:line="44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医养结合上门护理服务方案。供应商对居家养老医养结合上门护理服务方案。（8分）</w:t>
            </w:r>
            <w:r/>
          </w:p>
          <w:p>
            <w:pP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案完整、细致，符合项目需求，可操作性强的得8分；方案较完整、较细致，基本符合项目需求，可操作性较强的得6分；方案不完整、不细致，与项目需求响应度低，可操作性一般的得4分；方案较差的得2分；其余不得分。</w:t>
            </w:r>
            <w:r/>
          </w:p>
        </w:tc>
      </w:tr>
      <w:tr>
        <w:trPr>
          <w:jc w:val="center"/>
          <w:trHeight w:val="1367"/>
        </w:trPr>
        <w:tc>
          <w:tcPr>
            <w:tcW w:w="1379" w:type="dxa"/>
            <w:vAlign w:val="center"/>
            <w:vMerge w:val="continue"/>
            <w:textDirection w:val="lrTb"/>
            <w:noWrap w:val="false"/>
          </w:tcPr>
          <w:p>
            <w:pPr>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8709" w:type="dxa"/>
            <w:vAlign w:val="top"/>
            <w:textDirection w:val="lrTb"/>
            <w:noWrap w:val="false"/>
          </w:tcPr>
          <w:p>
            <w:pPr>
              <w:spacing w:line="44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服务质量保障方案。供应商根据服务质量考评情况、服务差错报告情况、服务人员考核情况制订人员奖惩制度。（8分）</w:t>
            </w:r>
            <w:r/>
          </w:p>
          <w:p>
            <w:pP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制度完整、细致，符合项目需求，可操作性强得8分；制度较完整、较细致，基本符合项目需求，可操作性较强得6分；制度不完整、不细致，与项目需求响应度低，可操作性一般得4分；方案较差得2分；其余不得分。</w:t>
            </w:r>
            <w:r/>
          </w:p>
        </w:tc>
      </w:tr>
      <w:tr>
        <w:trPr>
          <w:jc w:val="center"/>
          <w:trHeight w:val="1367"/>
        </w:trPr>
        <w:tc>
          <w:tcPr>
            <w:tcW w:w="1379" w:type="dxa"/>
            <w:vAlign w:val="center"/>
            <w:vMerge w:val="continue"/>
            <w:textDirection w:val="lrTb"/>
            <w:noWrap w:val="false"/>
          </w:tcPr>
          <w:p>
            <w:pPr>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8709" w:type="dxa"/>
            <w:vAlign w:val="top"/>
            <w:textDirection w:val="lrTb"/>
            <w:noWrap w:val="false"/>
          </w:tcPr>
          <w:p>
            <w:pPr>
              <w:spacing w:line="44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内部管理方案。（5分）</w:t>
            </w:r>
            <w:r/>
          </w:p>
          <w:p>
            <w:pP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供应商针对本项目制定内部管理架构、运行管理制度、财务管理制度、内部考核制度完善、合理的得5分；较完善、合理的得3分；不够完善、合理的得1分；其余不得分。</w:t>
            </w:r>
            <w:r/>
          </w:p>
        </w:tc>
      </w:tr>
      <w:tr>
        <w:trPr>
          <w:jc w:val="center"/>
          <w:trHeight w:val="1367"/>
        </w:trPr>
        <w:tc>
          <w:tcPr>
            <w:tcW w:w="1379" w:type="dxa"/>
            <w:vAlign w:val="center"/>
            <w:vMerge w:val="continue"/>
            <w:textDirection w:val="lrTb"/>
            <w:noWrap w:val="false"/>
          </w:tcPr>
          <w:p>
            <w:pPr>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8709" w:type="dxa"/>
            <w:vAlign w:val="top"/>
            <w:textDirection w:val="lrTb"/>
            <w:noWrap w:val="false"/>
          </w:tcPr>
          <w:p>
            <w:pPr>
              <w:spacing w:line="44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人员培训方案。（5分）</w:t>
            </w:r>
            <w:r/>
          </w:p>
          <w:p>
            <w:pP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针对本项目人员的服务培训计划、方式、目的等进行评审，合理的得5分；较完善、合理的得3分；不够完善、合理的得1分；其余不得分。</w:t>
            </w:r>
            <w:r/>
          </w:p>
        </w:tc>
      </w:tr>
      <w:tr>
        <w:trPr>
          <w:jc w:val="center"/>
          <w:trHeight w:val="1367"/>
        </w:trPr>
        <w:tc>
          <w:tcPr>
            <w:tcW w:w="1379" w:type="dxa"/>
            <w:vAlign w:val="center"/>
            <w:vMerge w:val="continue"/>
            <w:textDirection w:val="lrTb"/>
            <w:noWrap w:val="false"/>
          </w:tcPr>
          <w:p>
            <w:pPr>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8709" w:type="dxa"/>
            <w:vAlign w:val="top"/>
            <w:textDirection w:val="lrTb"/>
            <w:noWrap w:val="false"/>
          </w:tcPr>
          <w:p>
            <w:pPr>
              <w:spacing w:line="44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数据保密方案。（5分）</w:t>
            </w:r>
            <w:r/>
          </w:p>
          <w:p>
            <w:pP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针对本项目的符合国家法律法规的数据管理和保密方案。方案合理、可操作性强且完善、规范、清晰，由评委酌情量化打分，应当将量化指标建立在同一基础或者同一标准上，使各投标文件具有可比性。方案完善、合理的得5分；较完善、合理的得3分；不够完善、合理的得1分；其余不得分。</w:t>
            </w:r>
            <w:r/>
          </w:p>
        </w:tc>
      </w:tr>
      <w:tr>
        <w:trPr>
          <w:jc w:val="center"/>
          <w:trHeight w:val="1367"/>
        </w:trPr>
        <w:tc>
          <w:tcPr>
            <w:tcW w:w="1379" w:type="dxa"/>
            <w:vAlign w:val="center"/>
            <w:vMerge w:val="continue"/>
            <w:textDirection w:val="lrTb"/>
            <w:noWrap w:val="false"/>
          </w:tcPr>
          <w:p>
            <w:pPr>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8709" w:type="dxa"/>
            <w:vAlign w:val="top"/>
            <w:textDirection w:val="lrTb"/>
            <w:noWrap w:val="false"/>
          </w:tcPr>
          <w:p>
            <w:pPr>
              <w:spacing w:line="44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突发事件应急预案。（5分）</w:t>
            </w:r>
            <w:r/>
          </w:p>
          <w:p>
            <w:pP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供应商能提供突发事件（包括突发公共卫生事件、安全事故等）应急预案，应急预案完整、细致，符合项目需求，可操作性强得5分；应急预案较完整、较细致，基本符合项目需求，可操作性较强得3分；应急预案不完整、不细致，与项目需求响应度低，可操作性一般得1分；其余不得分。</w:t>
            </w:r>
            <w:r/>
          </w:p>
        </w:tc>
      </w:tr>
      <w:tr>
        <w:trPr>
          <w:jc w:val="center"/>
          <w:trHeight w:val="1110"/>
        </w:trPr>
        <w:tc>
          <w:tcPr>
            <w:tcW w:w="1379" w:type="dxa"/>
            <w:vAlign w:val="center"/>
            <w:vMerge w:val="restart"/>
            <w:textDirection w:val="lrTb"/>
            <w:noWrap w:val="false"/>
          </w:tcPr>
          <w:p>
            <w:pPr>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人员配置</w:t>
            </w:r>
            <w:r/>
          </w:p>
          <w:p>
            <w:pPr>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（16分）</w:t>
            </w:r>
            <w:r/>
          </w:p>
        </w:tc>
        <w:tc>
          <w:tcPr>
            <w:tcW w:w="8709" w:type="dxa"/>
            <w:vAlign w:val="top"/>
            <w:textDirection w:val="lrTb"/>
            <w:noWrap w:val="false"/>
          </w:tcPr>
          <w:p>
            <w:pPr>
              <w:pStyle w:val="955"/>
              <w:numPr>
                <w:ilvl w:val="0"/>
                <w:numId w:val="7"/>
              </w:numP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拟派本项目负责人持养老护理员证书的得2分。</w:t>
            </w:r>
            <w:r/>
          </w:p>
          <w:p>
            <w:pPr>
              <w:pStyle w:val="955"/>
              <w:numPr>
                <w:ilvl w:val="0"/>
                <w:numId w:val="7"/>
              </w:numP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拟派本项目负责人具有老年人能力评估师（高级）的得2分。</w:t>
            </w:r>
            <w:r/>
          </w:p>
          <w:p>
            <w:pPr>
              <w:pStyle w:val="955"/>
              <w:numPr>
                <w:ilvl w:val="0"/>
                <w:numId w:val="7"/>
              </w:numP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拟派本项目负责人持社工证证书的得1分。</w:t>
            </w:r>
            <w:r/>
          </w:p>
          <w:p>
            <w:pPr>
              <w:pStyle w:val="955"/>
              <w:numPr>
                <w:ilvl w:val="0"/>
                <w:numId w:val="7"/>
              </w:numP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拟派本项目负责人具有本科及以上学历的得1分；具有大专学历的得0.5分；其余不得分。</w:t>
            </w:r>
            <w:r/>
          </w:p>
          <w:p>
            <w:pPr>
              <w:spacing w:line="44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（以上须提供相关有效证书以及供应商为其缴纳的的近3个月的任意一月社保缴纳证明，原件扫描件上传，否则不得分）</w:t>
            </w:r>
            <w:r/>
          </w:p>
        </w:tc>
      </w:tr>
      <w:tr>
        <w:trPr>
          <w:jc w:val="center"/>
          <w:trHeight w:val="1110"/>
        </w:trPr>
        <w:tc>
          <w:tcPr>
            <w:tcW w:w="1379" w:type="dxa"/>
            <w:vAlign w:val="center"/>
            <w:vMerge w:val="continue"/>
            <w:textDirection w:val="lrTb"/>
            <w:noWrap w:val="false"/>
          </w:tcPr>
          <w:p>
            <w:pPr>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8709" w:type="dxa"/>
            <w:vAlign w:val="top"/>
            <w:textDirection w:val="lrTb"/>
            <w:noWrap w:val="false"/>
          </w:tcPr>
          <w:p>
            <w:pPr>
              <w:spacing w:line="440" w:lineRule="exact"/>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供应商具有养老护理员团队人员大于等于20人的得3分；15-19人的得2分；10-14人的得1分；其他不得分。</w:t>
            </w:r>
            <w:r>
              <w:rPr>
                <w:rFonts w:hint="eastAsia" w:ascii="宋体" w:hAnsi="宋体" w:cs="宋体"/>
                <w:b/>
                <w:bCs/>
                <w:color w:val="000000"/>
                <w:szCs w:val="21"/>
                <w:highlight w:val="none"/>
              </w:rPr>
              <w:t xml:space="preserve">（须提供相关有效证书以及供应商与护理人员签署的劳动协议，原件扫描件上传，否则不得分）</w:t>
            </w:r>
            <w:r/>
          </w:p>
        </w:tc>
      </w:tr>
      <w:tr>
        <w:trPr>
          <w:jc w:val="center"/>
          <w:trHeight w:val="1110"/>
        </w:trPr>
        <w:tc>
          <w:tcPr>
            <w:tcW w:w="1379" w:type="dxa"/>
            <w:vAlign w:val="center"/>
            <w:vMerge w:val="continue"/>
            <w:textDirection w:val="lrTb"/>
            <w:noWrap w:val="false"/>
          </w:tcPr>
          <w:p>
            <w:pPr>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8709" w:type="dxa"/>
            <w:vAlign w:val="top"/>
            <w:textDirection w:val="lrTb"/>
            <w:noWrap w:val="false"/>
          </w:tcPr>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服务团队（项目负责人除外）具有医生、护士、社会工作者、健康管理师、心理咨询师、按摩师、公共营养师的，每项证书得1分，本项最高得7分。</w:t>
            </w:r>
            <w:r/>
          </w:p>
          <w:p>
            <w:pPr>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（须提供相关有效证书，同一类证书不可重复计分，同一人有多证书的只按照一个证书计分。原件扫描件上传，否则不得分。）</w:t>
            </w:r>
            <w:r/>
          </w:p>
        </w:tc>
      </w:tr>
      <w:tr>
        <w:trPr>
          <w:jc w:val="center"/>
          <w:trHeight w:val="841"/>
        </w:trPr>
        <w:tc>
          <w:tcPr>
            <w:tcW w:w="1379" w:type="dxa"/>
            <w:vAlign w:val="center"/>
            <w:textDirection w:val="lrTb"/>
            <w:noWrap w:val="false"/>
          </w:tcPr>
          <w:p>
            <w:pPr>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企业实力</w:t>
            </w:r>
            <w:r/>
          </w:p>
          <w:p>
            <w:pPr>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p>
        </w:tc>
        <w:tc>
          <w:tcPr>
            <w:tcW w:w="8709" w:type="dxa"/>
            <w:vAlign w:val="center"/>
            <w:textDirection w:val="lrTb"/>
            <w:noWrap w:val="false"/>
          </w:tcPr>
          <w:p>
            <w:pPr>
              <w:numPr>
                <w:ilvl w:val="0"/>
                <w:numId w:val="0"/>
              </w:numPr>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供应商是长护险定点单位的得2分。</w:t>
            </w:r>
            <w:r>
              <w:rPr>
                <w:rFonts w:hint="eastAsia" w:ascii="宋体" w:hAnsi="宋体" w:cs="宋体"/>
                <w:b/>
                <w:bCs/>
                <w:color w:val="000000"/>
                <w:szCs w:val="21"/>
                <w:highlight w:val="none"/>
              </w:rPr>
              <w:t xml:space="preserve">(须提供有效长护险协议，原件扫描上传，否则不得分)</w:t>
            </w:r>
            <w:r/>
          </w:p>
          <w:p>
            <w:pPr>
              <w:pStyle w:val="740"/>
              <w:ind w:left="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供应商承诺成交后设立固定专职联络人</w:t>
            </w:r>
            <w:r>
              <w:rPr>
                <w:rFonts w:hint="eastAsia" w:ascii="宋体" w:hAnsi="宋体" w:cs="宋体"/>
                <w:color w:val="000000"/>
                <w:szCs w:val="21"/>
                <w:highlight w:val="none"/>
                <w:lang w:val="en-US" w:eastAsia="zh-CN"/>
              </w:rPr>
              <w:t xml:space="preserve">的</w:t>
            </w:r>
            <w:r>
              <w:rPr>
                <w:rFonts w:hint="eastAsia" w:ascii="宋体" w:hAnsi="宋体" w:cs="宋体"/>
                <w:color w:val="000000"/>
                <w:szCs w:val="21"/>
                <w:highlight w:val="none"/>
              </w:rPr>
              <w:t xml:space="preserve">得2分。</w:t>
            </w:r>
            <w:r>
              <w:rPr>
                <w:rFonts w:hint="eastAsia" w:ascii="宋体" w:hAnsi="宋体" w:cs="宋体"/>
                <w:b/>
                <w:bCs/>
                <w:color w:val="000000"/>
                <w:szCs w:val="21"/>
                <w:highlight w:val="none"/>
              </w:rPr>
              <w:t xml:space="preserve">（须提供相关有效材料或承诺函，原件扫描件上传）</w:t>
            </w:r>
            <w:r/>
          </w:p>
        </w:tc>
      </w:tr>
      <w:tr>
        <w:trPr>
          <w:jc w:val="center"/>
          <w:trHeight w:val="1126"/>
        </w:trPr>
        <w:tc>
          <w:tcPr>
            <w:tcW w:w="1379" w:type="dxa"/>
            <w:vAlign w:val="center"/>
            <w:textDirection w:val="lrTb"/>
            <w:noWrap w:val="false"/>
          </w:tcPr>
          <w:p>
            <w:pPr>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业绩</w:t>
            </w:r>
            <w:r/>
          </w:p>
          <w:p>
            <w:pPr>
              <w:jc w:val="cente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（10分）</w:t>
            </w:r>
            <w:r/>
          </w:p>
        </w:tc>
        <w:tc>
          <w:tcPr>
            <w:tcW w:w="8709" w:type="dxa"/>
            <w:vAlign w:val="top"/>
            <w:textDirection w:val="lrTb"/>
            <w:noWrap w:val="false"/>
          </w:tcPr>
          <w:p>
            <w:pP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2023</w:t>
            </w:r>
            <w:r>
              <w:rPr>
                <w:rFonts w:hint="eastAsia" w:ascii="宋体" w:hAnsi="宋体" w:cs="宋体"/>
                <w:color w:val="000000"/>
                <w:szCs w:val="21"/>
                <w:highlight w:val="none"/>
              </w:rPr>
              <w:t xml:space="preserve">年1月1日以来，供应商承担过与本项目类似服务项目的，每有1个得1分，本项最多5分。</w:t>
            </w:r>
            <w:r>
              <w:rPr>
                <w:rFonts w:hint="eastAsia" w:ascii="宋体" w:hAnsi="宋体" w:cs="宋体"/>
                <w:b/>
                <w:bCs/>
                <w:color w:val="000000"/>
                <w:szCs w:val="21"/>
                <w:highlight w:val="none"/>
              </w:rPr>
              <w:t xml:space="preserve">（须提供服务合同，时间以合同签订日期为准，原件扫描上传，否则不得分）</w:t>
            </w:r>
            <w:r/>
          </w:p>
          <w:p>
            <w:pPr>
              <w:spacing w:line="4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2、20</w:t>
            </w:r>
            <w:r>
              <w:rPr>
                <w:rFonts w:hint="eastAsia" w:ascii="宋体" w:hAnsi="宋体" w:cs="宋体"/>
                <w:color w:val="000000"/>
                <w:szCs w:val="21"/>
                <w:highlight w:val="none"/>
                <w:lang w:val="en-US" w:eastAsia="zh-CN"/>
              </w:rPr>
              <w:t xml:space="preserve">23</w:t>
            </w:r>
            <w:r>
              <w:rPr>
                <w:rFonts w:hint="eastAsia" w:ascii="宋体" w:hAnsi="宋体" w:cs="宋体"/>
                <w:color w:val="000000"/>
                <w:szCs w:val="21"/>
                <w:highlight w:val="none"/>
              </w:rPr>
              <w:t xml:space="preserve">年1月1日以来，提供与上述承接过类似服务业绩相对应的服务单位履约评价，履约评价优的每提供一个得1分，履约评价良的每提供一个得0.5分，满分5分。同一项目不同年限的履约评价仅算一次得分，不重复计分。</w:t>
            </w:r>
            <w:r>
              <w:rPr>
                <w:rFonts w:hint="eastAsia" w:ascii="宋体" w:hAnsi="宋体" w:cs="宋体"/>
                <w:b/>
                <w:bCs/>
                <w:color w:val="000000"/>
                <w:szCs w:val="21"/>
                <w:highlight w:val="none"/>
              </w:rPr>
              <w:t xml:space="preserve">（须提供业主评价，时间以评价日期为准，原件扫描上传，否则不得分）</w:t>
            </w:r>
            <w:r/>
          </w:p>
        </w:tc>
      </w:tr>
    </w:tbl>
    <w:p>
      <w:pPr>
        <w:pStyle w:val="710"/>
        <w:rPr>
          <w:color w:val="auto"/>
          <w:highlight w:val="none"/>
        </w:rPr>
      </w:pPr>
      <w:r>
        <w:rPr>
          <w:color w:val="auto"/>
          <w:highlight w:val="none"/>
        </w:rPr>
      </w:r>
      <w:r/>
    </w:p>
    <w:p>
      <w:pPr>
        <w:ind w:firstLine="422"/>
        <w:keepLines w:val="0"/>
        <w:keepNext w:val="0"/>
        <w:pageBreakBefore w:val="0"/>
        <w:spacing w:line="360" w:lineRule="exact"/>
        <w:widowControl w:val="off"/>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r>
      <w:r/>
    </w:p>
    <w:p>
      <w:pPr>
        <w:ind w:firstLine="422"/>
        <w:keepLines w:val="0"/>
        <w:keepNext w:val="0"/>
        <w:pageBreakBefore w:val="0"/>
        <w:spacing w:line="360" w:lineRule="exact"/>
        <w:widowControl w:val="off"/>
        <w:rPr>
          <w:rFonts w:hint="eastAsia" w:ascii="宋体" w:hAnsi="宋体" w:eastAsia="宋体" w:cs="宋体"/>
          <w:b/>
          <w:bCs w:val="0"/>
          <w:color w:val="auto"/>
          <w:szCs w:val="21"/>
          <w:highlight w:val="none"/>
        </w:rPr>
      </w:pPr>
      <w:r>
        <w:rPr>
          <w:rFonts w:hint="eastAsia" w:ascii="宋体" w:hAnsi="宋体" w:cs="宋体"/>
          <w:b/>
          <w:bCs w:val="0"/>
          <w:color w:val="auto"/>
          <w:szCs w:val="21"/>
          <w:highlight w:val="none"/>
          <w:lang w:val="en-US" w:eastAsia="zh-CN"/>
        </w:rPr>
        <w:t xml:space="preserve">注：</w:t>
      </w:r>
      <w:r>
        <w:rPr>
          <w:rFonts w:hint="eastAsia" w:ascii="宋体" w:hAnsi="宋体" w:eastAsia="宋体" w:cs="宋体"/>
          <w:b/>
          <w:bCs/>
          <w:color w:val="auto"/>
          <w:highlight w:val="none"/>
        </w:rPr>
        <w:t xml:space="preserve">本次采购执行江苏省财政厅《关于推动解决政府采购异常低价问题相关工作的通知》（苏财购〔2025〕62号）的文件要求。</w:t>
      </w:r>
      <w:r/>
    </w:p>
    <w:p>
      <w:pPr>
        <w:ind w:firstLine="422"/>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（一）评审过程中出现下列情形之一的，评审委员会应当启动异常低价投标（响应）审查程序：</w:t>
      </w:r>
      <w:r/>
    </w:p>
    <w:p>
      <w:pPr>
        <w:ind w:firstLine="422"/>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1.投标（响应）报价低于采购项目预算50%的，即投标（响 应）报价</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采购项目预算 ×50%；</w:t>
      </w:r>
      <w:r/>
    </w:p>
    <w:p>
      <w:pPr>
        <w:ind w:firstLine="422"/>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2.投标（响应）报价低于采购项目最高限价45% 的，即投标（响应）报价</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采购项目最高限价 ×45%；</w:t>
      </w:r>
      <w:r/>
    </w:p>
    <w:p>
      <w:pPr>
        <w:numPr>
          <w:ilvl w:val="0"/>
          <w:numId w:val="0"/>
        </w:numPr>
        <w:ind w:left="0" w:firstLine="422"/>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rPr>
        <w:t xml:space="preserve">评审委员会认定的供应商报价过低、有可能影响产品质量或者不能诚信履约的其他情形。</w:t>
      </w:r>
      <w:r/>
    </w:p>
    <w:p>
      <w:pPr>
        <w:numPr>
          <w:ilvl w:val="0"/>
          <w:numId w:val="0"/>
        </w:numPr>
        <w:ind w:firstLine="422"/>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keepLines w:val="0"/>
        <w:keepNext w:val="0"/>
        <w:pageBreakBefore w:val="0"/>
        <w:spacing w:line="360" w:lineRule="auto"/>
        <w:widowControl w:val="off"/>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r>
      <w:r/>
    </w:p>
    <w:p>
      <w:pPr>
        <w:pStyle w:val="907"/>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07"/>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07"/>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color w:val="auto"/>
          <w:highlight w:val="none"/>
        </w:rPr>
      </w:pPr>
      <w:r>
        <w:rPr>
          <w:rFonts w:hint="eastAsia"/>
          <w:color w:val="auto"/>
          <w:highlight w:val="none"/>
        </w:rPr>
      </w:r>
      <w:r/>
    </w:p>
    <w:p>
      <w:pPr>
        <w:pStyle w:val="740"/>
        <w:rPr>
          <w:rFonts w:hint="eastAsia" w:ascii="宋体" w:hAnsi="宋体" w:cs="宋体"/>
          <w:color w:val="auto"/>
          <w:highlight w:val="none"/>
        </w:rPr>
      </w:pPr>
      <w:r>
        <w:rPr>
          <w:rFonts w:hint="eastAsia" w:ascii="宋体" w:hAnsi="宋体" w:cs="宋体"/>
          <w:color w:val="auto"/>
          <w:highlight w:val="none"/>
        </w:rPr>
      </w:r>
      <w:r/>
    </w:p>
    <w:p>
      <w:pPr>
        <w:rPr>
          <w:rFonts w:hint="eastAsia"/>
          <w:color w:val="auto"/>
          <w:highlight w:val="none"/>
        </w:rPr>
      </w:pPr>
      <w:r>
        <w:rPr>
          <w:rFonts w:hint="eastAsia"/>
          <w:color w:val="auto"/>
          <w:highlight w:val="none"/>
        </w:rPr>
      </w:r>
      <w:r/>
    </w:p>
    <w:p>
      <w:pPr>
        <w:pStyle w:val="907"/>
        <w:jc w:val="center"/>
        <w:spacing w:line="360" w:lineRule="auto"/>
        <w:rPr>
          <w:rFonts w:ascii="宋体" w:hAnsi="宋体" w:cs="宋体"/>
          <w:color w:val="auto"/>
          <w:sz w:val="52"/>
          <w:highlight w:val="none"/>
        </w:rPr>
      </w:pPr>
      <w:r>
        <w:rPr>
          <w:rFonts w:hint="eastAsia" w:ascii="宋体" w:hAnsi="宋体" w:cs="宋体"/>
          <w:color w:val="auto"/>
          <w:highlight w:val="none"/>
        </w:rPr>
        <w:t xml:space="preserve">第六章 竞争性磋商响应文件格式</w:t>
      </w:r>
      <w:bookmarkEnd w:id="28"/>
      <w:r/>
      <w:r/>
    </w:p>
    <w:p>
      <w:pPr>
        <w:jc w:val="center"/>
        <w:spacing w:line="360" w:lineRule="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ascii="宋体" w:hAnsi="宋体" w:cs="宋体"/>
          <w:b/>
          <w:color w:val="auto"/>
          <w:sz w:val="72"/>
          <w:szCs w:val="21"/>
          <w:highlight w:val="none"/>
        </w:rPr>
      </w:pPr>
      <w:r>
        <w:rPr>
          <w:rFonts w:ascii="宋体" w:hAnsi="宋体" w:cs="宋体"/>
          <w:b/>
          <w:color w:val="auto"/>
          <w:sz w:val="72"/>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供  应  商：（电子签章）</w:t>
      </w:r>
      <w:r/>
    </w:p>
    <w:p>
      <w:pPr>
        <w:jc w:val="center"/>
        <w:spacing w:line="360" w:lineRule="auto"/>
        <w:rPr>
          <w:rFonts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七、其他 （供应商认为有必要提供的声明和文件，如有自拟并自行添加）</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705"/>
        <w:tblW w:w="94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7121"/>
        <w:gridCol w:w="1725"/>
      </w:tblGrid>
      <w:tr>
        <w:trPr>
          <w:trHeight w:val="647"/>
        </w:trPr>
        <w:tc>
          <w:tcPr>
            <w:tcW w:w="64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712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72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9492"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712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法人或者其他组织的营业执照等证明文件，自然人的身份证明；</w:t>
            </w:r>
            <w:r/>
          </w:p>
        </w:tc>
        <w:tc>
          <w:tcPr>
            <w:tcW w:w="1725" w:type="dxa"/>
            <w:vAlign w:val="center"/>
            <w:textDirection w:val="lrTb"/>
            <w:noWrap w:val="false"/>
          </w:tcPr>
          <w:p>
            <w:pPr>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712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上一年度的财务状况报告（供应商成立不满一年无需提供）</w:t>
            </w:r>
            <w:r>
              <w:rPr>
                <w:rFonts w:hint="eastAsia" w:ascii="宋体" w:hAnsi="宋体" w:eastAsia="宋体" w:cs="宋体"/>
                <w:color w:val="auto"/>
                <w:szCs w:val="21"/>
                <w:highlight w:val="none"/>
              </w:rPr>
              <w:t xml:space="preserve">；</w:t>
            </w:r>
            <w:r/>
          </w:p>
        </w:tc>
        <w:tc>
          <w:tcPr>
            <w:tcW w:w="172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712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依法缴纳税收和社会保障资金的相关材料（提供提交响应文件截止时间前一年内任意一个月依法缴纳税收及缴纳社会保障资金的证明材料。供应商依法享受缓缴、免缴税收、社会保障资金的提供证明材料）；</w:t>
            </w:r>
            <w:r/>
          </w:p>
        </w:tc>
        <w:tc>
          <w:tcPr>
            <w:tcW w:w="172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689"/>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712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具备履行合同所必需的设备和专业技术能力的书面声明；</w:t>
            </w:r>
            <w:r/>
          </w:p>
        </w:tc>
        <w:tc>
          <w:tcPr>
            <w:tcW w:w="172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627"/>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712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参加政府采购活动前3年内在经营活动中没有重大违法记录的书面声明；</w:t>
            </w:r>
            <w:r/>
          </w:p>
        </w:tc>
        <w:tc>
          <w:tcPr>
            <w:tcW w:w="172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95"/>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712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供应商信用承诺函；</w:t>
            </w:r>
            <w:r/>
          </w:p>
        </w:tc>
        <w:tc>
          <w:tcPr>
            <w:tcW w:w="172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712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W w:w="172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90"/>
        </w:trPr>
        <w:tc>
          <w:tcPr>
            <w:gridSpan w:val="3"/>
            <w:tcW w:w="9492"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7121"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本项目专门面向中小企业采购。供应商参加磋商时须提供《中小企业声明函》，《中小企业声明函》不符合要求或未提供的，响应文件无效。</w:t>
            </w:r>
            <w:r/>
          </w:p>
        </w:tc>
        <w:tc>
          <w:tcPr>
            <w:tcW w:w="1725" w:type="dxa"/>
            <w:vAlign w:val="center"/>
            <w:textDirection w:val="lrTb"/>
            <w:noWrap w:val="false"/>
          </w:tcPr>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gridSpan w:val="3"/>
            <w:tcW w:w="9492" w:type="dxa"/>
            <w:vAlign w:val="center"/>
            <w:textDirection w:val="lrTb"/>
            <w:noWrap w:val="false"/>
          </w:tcPr>
          <w:p>
            <w:pPr>
              <w:rPr>
                <w:rFonts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7121" w:type="dxa"/>
            <w:vAlign w:val="center"/>
            <w:textDirection w:val="lrTb"/>
            <w:noWrap w:val="false"/>
          </w:tcPr>
          <w:p>
            <w:pPr>
              <w:spacing w:line="360" w:lineRule="auto"/>
              <w:rPr>
                <w:rFonts w:hint="eastAsia" w:ascii="宋体" w:hAnsi="宋体" w:eastAsia="宋体" w:cs="宋体"/>
                <w:iCs/>
                <w:color w:val="auto"/>
                <w:szCs w:val="21"/>
                <w:highlight w:val="none"/>
                <w:lang w:val="en-US" w:eastAsia="zh-CN"/>
              </w:rPr>
            </w:pPr>
            <w:r>
              <w:rPr>
                <w:rFonts w:hint="eastAsia" w:ascii="宋体" w:hAnsi="宋体" w:cs="宋体"/>
                <w:iCs/>
                <w:color w:val="auto"/>
                <w:szCs w:val="21"/>
                <w:highlight w:val="none"/>
                <w:lang w:val="en-US" w:eastAsia="zh-CN"/>
              </w:rPr>
              <w:t xml:space="preserve">无</w:t>
            </w:r>
            <w:r/>
          </w:p>
        </w:tc>
        <w:tc>
          <w:tcPr>
            <w:tcW w:w="172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00"/>
        </w:trPr>
        <w:tc>
          <w:tcPr>
            <w:gridSpan w:val="3"/>
            <w:tcW w:w="9492" w:type="dxa"/>
            <w:vAlign w:val="center"/>
            <w:textDirection w:val="lrTb"/>
            <w:noWrap w:val="false"/>
          </w:tcPr>
          <w:p>
            <w:pPr>
              <w:rPr>
                <w:rFonts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7121" w:type="dxa"/>
            <w:vAlign w:val="center"/>
            <w:textDirection w:val="lrTb"/>
            <w:noWrap w:val="false"/>
          </w:tcPr>
          <w:p>
            <w:pPr>
              <w:jc w:val="left"/>
              <w:rPr>
                <w:rFonts w:ascii="宋体" w:hAnsi="宋体" w:cs="宋体"/>
                <w:iCs/>
                <w:color w:val="auto"/>
                <w:szCs w:val="21"/>
                <w:highlight w:val="none"/>
              </w:rPr>
            </w:pPr>
            <w:r>
              <w:rPr>
                <w:rFonts w:hint="eastAsia" w:ascii="宋体" w:hAnsi="宋体" w:cs="宋体"/>
                <w:iCs/>
                <w:color w:val="auto"/>
                <w:szCs w:val="21"/>
                <w:highlight w:val="none"/>
              </w:rPr>
              <w:t xml:space="preserve">磋商响应函</w:t>
            </w:r>
            <w:r/>
          </w:p>
        </w:tc>
        <w:tc>
          <w:tcPr>
            <w:tcW w:w="172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400"/>
        </w:trPr>
        <w:tc>
          <w:tcPr>
            <w:tcW w:w="64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7121" w:type="dxa"/>
            <w:vAlign w:val="center"/>
            <w:textDirection w:val="lrTb"/>
            <w:noWrap w:val="false"/>
          </w:tcPr>
          <w:p>
            <w:pPr>
              <w:jc w:val="left"/>
              <w:rPr>
                <w:rFonts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72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spacing w:before="156" w:after="156" w:line="360" w:lineRule="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rPr>
          <w:rFonts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92"/>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jc w:val="center"/>
        <w:spacing w:line="360"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after="312" w:line="360" w:lineRule="auto"/>
        <w:rPr>
          <w:rFonts w:ascii="宋体" w:hAnsi="宋体" w:cs="宋体"/>
          <w:b/>
          <w:bCs/>
          <w:color w:val="auto"/>
          <w:highlight w:val="none"/>
        </w:rPr>
      </w:pPr>
      <w:r>
        <w:rPr>
          <w:rFonts w:hint="eastAsia" w:ascii="宋体" w:hAnsi="宋体" w:cs="宋体"/>
          <w:b/>
          <w:bCs/>
          <w:color w:val="auto"/>
          <w:highlight w:val="none"/>
        </w:rPr>
        <w:t xml:space="preserve">声  明</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hint="default" w:ascii="宋体" w:hAnsi="宋体" w:eastAsia="宋体" w:cs="宋体"/>
          <w:bCs/>
          <w:color w:val="auto"/>
          <w:highlight w:val="none"/>
          <w:u w:val="single"/>
          <w:lang w:val="en-US" w:eastAsia="zh-CN"/>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lang w:val="en-US" w:eastAsia="zh-CN"/>
        </w:rPr>
        <w:t xml:space="preserve">                     </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日期：</w:t>
      </w:r>
      <w:r>
        <w:rPr>
          <w:rFonts w:hint="eastAsia" w:ascii="宋体" w:hAnsi="宋体" w:cs="宋体"/>
          <w:bCs/>
          <w:color w:val="auto"/>
          <w:highlight w:val="none"/>
          <w:u w:val="single"/>
          <w:lang w:val="en-US" w:eastAsia="zh-CN"/>
        </w:rPr>
        <w:t xml:space="preserve">     </w:t>
      </w:r>
      <w:r>
        <w:rPr>
          <w:rFonts w:hint="eastAsia" w:ascii="宋体" w:hAnsi="宋体" w:cs="宋体"/>
          <w:bCs/>
          <w:color w:val="auto"/>
          <w:highlight w:val="none"/>
        </w:rPr>
        <w:t xml:space="preserve">年</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u w:val="single"/>
          <w:lang w:val="en-US" w:eastAsia="zh-CN"/>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lang w:val="en-US" w:eastAsia="zh-CN"/>
        </w:rPr>
        <w:t xml:space="preserve">    </w:t>
      </w:r>
      <w:r>
        <w:rPr>
          <w:rFonts w:hint="eastAsia" w:ascii="宋体" w:hAnsi="宋体" w:cs="宋体"/>
          <w:bCs/>
          <w:color w:val="auto"/>
          <w:highlight w:val="none"/>
        </w:rPr>
        <w:t xml:space="preserve">日</w:t>
      </w:r>
      <w:r/>
    </w:p>
    <w:p>
      <w:pPr>
        <w:spacing w:line="360" w:lineRule="auto"/>
        <w:rPr>
          <w:rFonts w:ascii="宋体" w:hAnsi="宋体" w:cs="宋体"/>
          <w:b/>
          <w:bCs/>
          <w:color w:val="auto"/>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ascii="宋体" w:hAnsi="宋体" w:cs="宋体"/>
          <w:color w:val="auto"/>
          <w:szCs w:val="32"/>
          <w:highlight w:val="none"/>
        </w:rPr>
      </w:pPr>
      <w:r>
        <w:rPr>
          <w:rFonts w:ascii="宋体" w:hAnsi="宋体" w:cs="宋体"/>
          <w:color w:val="auto"/>
          <w:szCs w:val="32"/>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Cs w:val="21"/>
          <w:highlight w:val="none"/>
        </w:rPr>
        <w:t xml:space="preserve">　　　　　　　　　      　年    月    日</w:t>
      </w:r>
      <w:r/>
    </w:p>
    <w:p>
      <w:pP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磋商响应函</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致：（代理公司）</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根据贵方的号磋商文件，正式授权下述签字人_________ (姓名和职务)代表我方______________（供应商的名称），全权处理本次项目磋商采购的有关事宜。</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946"/>
        <w:ind w:firstLine="422"/>
        <w:jc w:val="center"/>
        <w:spacing w:after="312"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被授权人姓名：_______________________     </w:t>
      </w:r>
      <w:r/>
    </w:p>
    <w:p>
      <w:pPr>
        <w:pStyle w:val="946"/>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946"/>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单位名称：____________________________________</w:t>
      </w:r>
      <w:r/>
    </w:p>
    <w:p>
      <w:pPr>
        <w:pStyle w:val="946"/>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946"/>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360" w:lineRule="auto"/>
        <w:rPr>
          <w:rFonts w:ascii="宋体" w:hAnsi="宋体" w:cs="宋体"/>
          <w:bCs/>
          <w:color w:val="auto"/>
          <w:highlight w:val="none"/>
        </w:rPr>
      </w:pPr>
      <w:r>
        <w:rPr>
          <w:rFonts w:ascii="宋体" w:hAnsi="宋体" w:cs="宋体"/>
          <w:bCs/>
          <w:color w:val="auto"/>
          <w:highlight w:val="none"/>
        </w:rPr>
      </w:r>
      <w:r/>
    </w:p>
    <w:p>
      <w:pPr>
        <w:ind w:firstLine="420"/>
        <w:spacing w:line="360" w:lineRule="auto"/>
        <w:rPr>
          <w:rFonts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t xml:space="preserve">被授权人身份证复印件</w:t>
      </w:r>
      <w:r/>
    </w:p>
    <w:p>
      <w:pPr>
        <w:numPr>
          <w:ilvl w:val="0"/>
          <w:numId w:val="2"/>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符合性审查响应对照表</w:t>
      </w:r>
      <w:r/>
    </w:p>
    <w:tbl>
      <w:tblPr>
        <w:tblStyle w:val="705"/>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792"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200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48"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4792"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2006"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348"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792"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200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4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792"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200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4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4792" w:type="dxa"/>
            <w:vAlign w:val="center"/>
            <w:textDirection w:val="lrTb"/>
            <w:noWrap w:val="false"/>
          </w:tcPr>
          <w:p>
            <w:pPr>
              <w:spacing w:line="360" w:lineRule="auto"/>
              <w:rPr>
                <w:rFonts w:ascii="宋体" w:hAnsi="宋体" w:cs="宋体"/>
                <w:iCs/>
                <w:color w:val="auto"/>
                <w:szCs w:val="21"/>
                <w:highlight w:val="none"/>
              </w:rPr>
            </w:pPr>
            <w:r>
              <w:rPr>
                <w:rFonts w:ascii="宋体" w:hAnsi="宋体" w:cs="宋体"/>
                <w:iCs/>
                <w:color w:val="auto"/>
                <w:szCs w:val="21"/>
                <w:highlight w:val="none"/>
              </w:rPr>
            </w:r>
            <w:r/>
          </w:p>
        </w:tc>
        <w:tc>
          <w:tcPr>
            <w:tcW w:w="200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4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4792"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200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34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contextualSpacing/>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numPr>
          <w:ilvl w:val="0"/>
          <w:numId w:val="2"/>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非实质性响应对照表</w:t>
      </w:r>
      <w:r/>
    </w:p>
    <w:p>
      <w:pPr>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p>
    <w:tbl>
      <w:tblPr>
        <w:tblStyle w:val="705"/>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572"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968"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491"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4572"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《企业声明函》</w:t>
            </w:r>
            <w:r/>
          </w:p>
        </w:tc>
        <w:tc>
          <w:tcPr>
            <w:tcW w:w="1968"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491"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572"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9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572"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1"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widowControl/>
        <w:rPr>
          <w:rFonts w:ascii="宋体" w:hAnsi="宋体" w:cs="宋体"/>
          <w:b/>
          <w:bCs/>
          <w:color w:val="auto"/>
          <w:highlight w:val="none"/>
        </w:rPr>
      </w:pPr>
      <w:r>
        <w:rPr>
          <w:rFonts w:ascii="宋体" w:hAnsi="宋体" w:cs="宋体"/>
          <w:b/>
          <w:bCs/>
          <w:color w:val="auto"/>
          <w:highlight w:val="none"/>
        </w:rPr>
      </w:r>
      <w:r/>
    </w:p>
    <w:p>
      <w:pPr>
        <w:spacing w:before="312" w:after="312" w:line="360"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                    中小企业声明函（服务）</w:t>
      </w:r>
      <w:r/>
    </w:p>
    <w:p>
      <w:pPr>
        <w:ind w:firstLine="420"/>
        <w:jc w:val="left"/>
        <w:spacing w:line="440" w:lineRule="exact"/>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rPr>
          <w:rFonts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w:t>
      </w:r>
      <w:r>
        <w:rPr>
          <w:rFonts w:hint="eastAsia" w:ascii="宋体" w:hAnsi="宋体" w:cs="宋体"/>
          <w:b/>
          <w:color w:val="auto"/>
          <w:highlight w:val="none"/>
          <w:u w:val="single"/>
        </w:rPr>
        <w:t xml:space="preserve">其他为列明行业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440" w:lineRule="exact"/>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440" w:lineRule="exact"/>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400" w:lineRule="exact"/>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400" w:lineRule="exact"/>
        <w:rPr>
          <w:rFonts w:ascii="宋体" w:hAnsi="宋体" w:cs="宋体"/>
          <w:color w:val="auto"/>
          <w:highlight w:val="none"/>
        </w:rPr>
      </w:pPr>
      <w:r>
        <w:rPr>
          <w:rFonts w:hint="eastAsia" w:ascii="宋体" w:hAnsi="宋体" w:cs="宋体"/>
          <w:color w:val="auto"/>
          <w:highlight w:val="none"/>
        </w:rPr>
        <w:t xml:space="preserve">    3、企业声明函请完整填写，中标后将公示。</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400" w:lineRule="exact"/>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rPr>
          <w:rFonts w:ascii="宋体" w:hAnsi="宋体" w:cs="宋体"/>
          <w:color w:val="auto"/>
          <w:highlight w:val="none"/>
        </w:rPr>
      </w:pPr>
      <w:r>
        <w:rPr>
          <w:rFonts w:ascii="宋体" w:hAnsi="宋体" w:cs="宋体"/>
          <w:color w:val="auto"/>
          <w:highlight w:val="none"/>
        </w:rPr>
      </w:r>
      <w:r/>
    </w:p>
    <w:p>
      <w:pPr>
        <w:pStyle w:val="908"/>
        <w:jc w:val="center"/>
        <w:spacing w:before="300" w:after="300" w:line="360" w:lineRule="auto"/>
        <w:widowControl/>
        <w:rPr>
          <w:rFonts w:ascii="宋体" w:hAnsi="宋体" w:cs="宋体"/>
          <w:color w:val="auto"/>
          <w:sz w:val="21"/>
          <w:szCs w:val="21"/>
          <w:highlight w:val="none"/>
        </w:rPr>
      </w:pPr>
      <w:r/>
      <w:bookmarkStart w:id="29" w:name="_Toc109304977"/>
      <w:r>
        <w:rPr>
          <w:rFonts w:hint="eastAsia" w:ascii="宋体" w:hAnsi="宋体" w:cs="宋体"/>
          <w:bCs w:val="0"/>
          <w:color w:val="auto"/>
          <w:sz w:val="21"/>
          <w:szCs w:val="21"/>
          <w:highlight w:val="none"/>
        </w:rPr>
        <w:t xml:space="preserve">中小微企业划型标准</w:t>
      </w:r>
      <w:bookmarkEnd w:id="29"/>
      <w:r>
        <w:rPr>
          <w:rFonts w:hint="eastAsia" w:ascii="宋体" w:hAnsi="宋体" w:cs="宋体"/>
          <w:bCs w:val="0"/>
          <w:color w:val="auto"/>
          <w:sz w:val="21"/>
          <w:szCs w:val="21"/>
          <w:highlight w:val="none"/>
        </w:rPr>
        <w:t xml:space="preserve"> </w:t>
      </w:r>
      <w:r>
        <w:rPr>
          <w:rStyle w:val="930"/>
          <w:rFonts w:hint="eastAsia" w:ascii="宋体" w:hAnsi="宋体" w:cs="宋体"/>
          <w:b/>
          <w:color w:val="auto"/>
          <w:sz w:val="21"/>
          <w:szCs w:val="21"/>
          <w:highlight w:val="none"/>
        </w:rPr>
        <w:t xml:space="preserve">中小微企业划型标准如下：</w:t>
      </w:r>
      <w:r/>
    </w:p>
    <w:tbl>
      <w:tblPr>
        <w:tblStyle w:val="705"/>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1145"/>
        </w:trPr>
        <w:tc>
          <w:tcPr>
            <w:tcMar>
              <w:left w:w="105" w:type="dxa"/>
              <w:top w:w="0" w:type="dxa"/>
              <w:right w:w="105" w:type="dxa"/>
              <w:bottom w:w="0" w:type="dxa"/>
            </w:tcMar>
            <w:tcW w:w="1401"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205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X＜20</w:t>
            </w:r>
            <w:r/>
          </w:p>
        </w:tc>
      </w:tr>
      <w:tr>
        <w:trPr>
          <w:tblCellSpacing w:w="15" w:type="dxa"/>
          <w:trHeight w:val="1143"/>
        </w:trPr>
        <w:tc>
          <w:tcPr>
            <w:tcW w:w="1401"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万万元</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7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27"/>
              <w:ind w:firstLine="420"/>
              <w:jc w:val="center"/>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27"/>
              <w:ind w:firstLine="420"/>
              <w:spacing w:after="150" w:line="360" w:lineRule="auto"/>
              <w:widowControl/>
              <w:rPr>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X＜10</w:t>
            </w:r>
            <w:r/>
          </w:p>
        </w:tc>
      </w:tr>
    </w:tbl>
    <w:p>
      <w:pPr>
        <w:pStyle w:val="927"/>
        <w:ind w:firstLine="420"/>
        <w:spacing w:before="300" w:after="452" w:line="360" w:lineRule="auto"/>
        <w:widowControl/>
        <w:rPr>
          <w:rStyle w:val="930"/>
          <w:rFonts w:ascii="宋体" w:hAnsi="宋体" w:cs="宋体"/>
          <w:color w:val="auto"/>
          <w:sz w:val="21"/>
          <w:szCs w:val="21"/>
          <w:highlight w:val="none"/>
        </w:rPr>
      </w:pPr>
      <w:r>
        <w:rPr>
          <w:rStyle w:val="930"/>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cs="宋体"/>
          <w:color w:val="auto"/>
          <w:highlight w:val="none"/>
        </w:rPr>
      </w:pPr>
      <w:r>
        <w:rPr>
          <w:rStyle w:val="930"/>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本单位在本次政府采购活动中提供的残疾人福利单位产品报价合计为人民币（大写）圆整（￥：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spacing w:line="360" w:lineRule="auto"/>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                              日  期：</w:t>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四、磋商响应报价表</w:t>
      </w:r>
      <w:r/>
    </w:p>
    <w:p>
      <w:pPr>
        <w:spacing w:line="360" w:lineRule="auto"/>
        <w:rPr>
          <w:rFonts w:ascii="宋体" w:hAnsi="宋体" w:cs="宋体"/>
          <w:color w:val="auto"/>
          <w:highlight w:val="none"/>
        </w:rPr>
      </w:pPr>
      <w:r>
        <w:rPr>
          <w:rFonts w:ascii="宋体" w:hAnsi="宋体" w:cs="宋体"/>
          <w:color w:val="auto"/>
          <w:highlight w:val="none"/>
        </w:rPr>
      </w:r>
      <w:r/>
    </w:p>
    <w:p>
      <w:pPr>
        <w:pStyle w:val="921"/>
        <w:spacing w:line="360" w:lineRule="auto"/>
        <w:rPr>
          <w:rFonts w:ascii="宋体" w:hAnsi="宋体" w:cs="宋体"/>
          <w:color w:val="auto"/>
          <w:sz w:val="21"/>
          <w:szCs w:val="21"/>
          <w:highlight w:val="none"/>
        </w:rPr>
      </w:pPr>
      <w:r/>
      <w:bookmarkStart w:id="30" w:name="_Toc109304978"/>
      <w:r>
        <w:rPr>
          <w:rFonts w:hint="eastAsia" w:ascii="宋体" w:hAnsi="宋体" w:cs="宋体"/>
          <w:color w:val="auto"/>
          <w:sz w:val="21"/>
          <w:szCs w:val="21"/>
          <w:highlight w:val="none"/>
        </w:rPr>
        <w:t xml:space="preserve">项目名称：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p>
    <w:p>
      <w:pPr>
        <w:spacing w:line="360" w:lineRule="auto"/>
        <w:rPr>
          <w:rFonts w:ascii="宋体" w:hAnsi="宋体"/>
          <w:color w:val="auto"/>
          <w:szCs w:val="21"/>
          <w:highlight w:val="none"/>
          <w:lang w:eastAsia="zh-CN"/>
        </w:rPr>
      </w:pPr>
      <w:r>
        <w:rPr>
          <w:rFonts w:hint="eastAsia" w:ascii="宋体" w:hAnsi="宋体"/>
          <w:color w:val="auto"/>
          <w:highlight w:val="none"/>
          <w:lang w:eastAsia="zh-CN"/>
        </w:rPr>
        <w:t xml:space="preserve">本次为首次报价                                                      </w:t>
      </w:r>
      <w:r/>
    </w:p>
    <w:tbl>
      <w:tblPr>
        <w:tblStyle w:val="7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大写：</w:t>
            </w:r>
            <w:r/>
          </w:p>
          <w:p>
            <w:pPr>
              <w:spacing w:line="360" w:lineRule="auto"/>
              <w:rPr>
                <w:rFonts w:ascii="宋体" w:hAnsi="宋体" w:eastAsia="宋体"/>
                <w:color w:val="auto"/>
                <w:szCs w:val="21"/>
                <w:highlight w:val="none"/>
                <w:lang w:eastAsia="zh-CN"/>
              </w:rPr>
            </w:pPr>
            <w:r>
              <w:rPr>
                <w:rFonts w:hint="eastAsia" w:ascii="宋体" w:hAnsi="宋体"/>
                <w:color w:val="auto"/>
                <w:szCs w:val="21"/>
                <w:highlight w:val="none"/>
                <w:lang w:eastAsia="zh-CN"/>
              </w:rPr>
              <w:t xml:space="preserve">小写：            (人民币)元</w:t>
            </w:r>
            <w:r>
              <w:rPr>
                <w:rFonts w:hint="eastAsia" w:ascii="宋体" w:hAnsi="宋体" w:eastAsia="宋体"/>
                <w:color w:val="auto"/>
                <w:szCs w:val="21"/>
                <w:highlight w:val="none"/>
                <w:lang w:eastAsia="zh-CN"/>
              </w:rPr>
              <w:t xml:space="preserve">/小时</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法定代表人或者授权代表（签字或盖章）：                    </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磋商供应商全称（盖章）：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日期：    年   月    日</w:t>
      </w:r>
      <w:r/>
    </w:p>
    <w:p>
      <w:pPr>
        <w:pStyle w:val="910"/>
        <w:jc w:val="center"/>
        <w:rPr>
          <w:rFonts w:ascii="宋体" w:hAnsi="宋体" w:cs="宋体"/>
          <w:color w:val="auto"/>
          <w:highlight w:val="none"/>
        </w:rPr>
      </w:pPr>
      <w:r>
        <w:rPr>
          <w:rFonts w:hint="eastAsia" w:ascii="宋体" w:hAnsi="宋体" w:cs="宋体"/>
          <w:bCs w:val="0"/>
          <w:color w:val="auto"/>
          <w:highlight w:val="none"/>
        </w:rPr>
        <w:br w:type="page" w:clear="all"/>
      </w:r>
      <w:r>
        <w:rPr>
          <w:rFonts w:hint="eastAsia" w:ascii="宋体" w:hAnsi="宋体" w:cs="宋体"/>
          <w:bCs w:val="0"/>
          <w:color w:val="auto"/>
          <w:highlight w:val="none"/>
        </w:rPr>
        <w:t xml:space="preserve">分项报价表</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供应商全称（加盖公章）：</w:t>
      </w:r>
      <w:r>
        <w:rPr>
          <w:rFonts w:hint="eastAsia" w:ascii="宋体" w:hAnsi="宋体"/>
          <w:color w:val="auto"/>
          <w:szCs w:val="21"/>
          <w:highlight w:val="none"/>
          <w:u w:val="single"/>
        </w:rPr>
        <w:t xml:space="preserve">　　　　　　　　　　　　　　　　　　　　</w:t>
      </w:r>
      <w:r/>
    </w:p>
    <w:p>
      <w:pPr>
        <w:rPr>
          <w:rFonts w:ascii="宋体" w:hAnsi="宋体" w:cstheme="minorEastAsia"/>
          <w:color w:val="auto"/>
          <w:szCs w:val="21"/>
          <w:highlight w:val="none"/>
        </w:rPr>
      </w:pPr>
      <w:r>
        <w:rPr>
          <w:rFonts w:ascii="宋体" w:hAnsi="宋体" w:cstheme="minorEastAsia"/>
          <w:color w:val="auto"/>
          <w:szCs w:val="21"/>
          <w:highlight w:val="none"/>
        </w:rPr>
      </w:r>
      <w:r/>
    </w:p>
    <w:tbl>
      <w:tblPr>
        <w:tblStyle w:val="705"/>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7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40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9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r>
      <w:tr>
        <w:trPr>
          <w:cantSplit/>
          <w:trHeight w:val="294"/>
        </w:trPr>
        <w:tc>
          <w:tcPr>
            <w:tcW w:w="277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名称</w:t>
            </w:r>
            <w:r/>
          </w:p>
        </w:tc>
        <w:tc>
          <w:tcPr>
            <w:tcW w:w="17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240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19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w:t>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合计</w:t>
            </w:r>
            <w:r/>
          </w:p>
        </w:tc>
        <w:tc>
          <w:tcPr>
            <w:gridSpan w:val="3"/>
            <w:tcW w:w="612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color w:val="auto"/>
          <w:szCs w:val="21"/>
          <w:highlight w:val="none"/>
        </w:rPr>
        <w:t xml:space="preserve">此表可以根据需要自行增减</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法定代表人或者授权代表（签字或盖章）：                    </w:t>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磋商供应商全称（盖章）：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日期：    年   月    日</w:t>
      </w:r>
      <w:r/>
    </w:p>
    <w:p>
      <w:pPr>
        <w:pStyle w:val="908"/>
        <w:jc w:val="center"/>
        <w:spacing w:line="360" w:lineRule="auto"/>
        <w:rPr>
          <w:rFonts w:ascii="宋体" w:hAnsi="宋体" w:cs="宋体"/>
          <w:bCs w:val="0"/>
          <w:color w:val="auto"/>
          <w:highlight w:val="none"/>
        </w:rPr>
      </w:pPr>
      <w:r>
        <w:rPr>
          <w:rFonts w:ascii="宋体" w:hAnsi="宋体" w:cs="宋体"/>
          <w:bCs w:val="0"/>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ind w:left="0" w:firstLine="0"/>
        <w:rPr>
          <w:rFonts w:ascii="宋体" w:hAnsi="宋体" w:cs="宋体"/>
          <w:color w:val="auto"/>
          <w:highlight w:val="none"/>
        </w:rPr>
      </w:pPr>
      <w:r>
        <w:rPr>
          <w:rFonts w:ascii="宋体" w:hAnsi="宋体" w:cs="宋体"/>
          <w:color w:val="auto"/>
          <w:highlight w:val="none"/>
        </w:rPr>
      </w:r>
      <w:r/>
    </w:p>
    <w:p>
      <w:pPr>
        <w:pStyle w:val="908"/>
        <w:jc w:val="center"/>
        <w:spacing w:line="360" w:lineRule="auto"/>
        <w:rPr>
          <w:rFonts w:ascii="宋体" w:hAnsi="宋体" w:cs="宋体"/>
          <w:bCs w:val="0"/>
          <w:color w:val="auto"/>
          <w:highlight w:val="none"/>
        </w:rPr>
      </w:pPr>
      <w:r>
        <w:rPr>
          <w:rFonts w:hint="eastAsia" w:ascii="宋体" w:hAnsi="宋体" w:cs="宋体"/>
          <w:bCs w:val="0"/>
          <w:color w:val="auto"/>
          <w:highlight w:val="none"/>
        </w:rPr>
        <w:t xml:space="preserve">五、技术参数响应及偏离表</w:t>
      </w:r>
      <w:bookmarkEnd w:id="30"/>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s="宋体"/>
                <w:color w:val="auto"/>
                <w:szCs w:val="21"/>
                <w:highlight w:val="none"/>
              </w:rPr>
            </w:pPr>
            <w:r/>
            <w:bookmarkStart w:id="31" w:name="_Hlt26955054"/>
            <w:r/>
            <w:bookmarkEnd w:id="31"/>
            <w:r/>
            <w:bookmarkStart w:id="32" w:name="_Toc109304979"/>
            <w:r>
              <w:rPr>
                <w:rFonts w:hint="eastAsia" w:ascii="宋体" w:hAnsi="宋体" w:cs="宋体"/>
                <w:color w:val="auto"/>
                <w:szCs w:val="21"/>
                <w:highlight w:val="none"/>
              </w:rPr>
              <w:t xml:space="preserve">序号</w:t>
            </w:r>
            <w:r/>
          </w:p>
        </w:tc>
        <w:tc>
          <w:tcPr>
            <w:tcW w:w="28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8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30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17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84"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85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0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3"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908"/>
        <w:spacing w:line="360" w:lineRule="auto"/>
        <w:rPr>
          <w:rFonts w:ascii="宋体" w:hAnsi="宋体" w:cs="宋体"/>
          <w:bCs w:val="0"/>
          <w:color w:val="auto"/>
          <w:highlight w:val="none"/>
        </w:rPr>
      </w:pPr>
      <w:r>
        <w:rPr>
          <w:rFonts w:ascii="宋体" w:hAnsi="宋体" w:cs="宋体"/>
          <w:bCs w:val="0"/>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9"/>
        <w:rPr>
          <w:rFonts w:ascii="宋体" w:hAnsi="宋体" w:cs="宋体"/>
          <w:color w:val="auto"/>
          <w:highlight w:val="none"/>
        </w:rPr>
      </w:pPr>
      <w:r>
        <w:rPr>
          <w:rFonts w:ascii="宋体" w:hAnsi="宋体" w:cs="宋体"/>
          <w:color w:val="auto"/>
          <w:highlight w:val="none"/>
        </w:rPr>
      </w:r>
      <w:r/>
    </w:p>
    <w:p>
      <w:pPr>
        <w:pStyle w:val="908"/>
        <w:jc w:val="center"/>
        <w:spacing w:line="360" w:lineRule="auto"/>
        <w:rPr>
          <w:rFonts w:ascii="宋体" w:hAnsi="宋体" w:cs="宋体"/>
          <w:bCs w:val="0"/>
          <w:color w:val="auto"/>
          <w:highlight w:val="none"/>
        </w:rPr>
      </w:pPr>
      <w:r>
        <w:rPr>
          <w:rFonts w:hint="eastAsia" w:ascii="宋体" w:hAnsi="宋体" w:cs="宋体"/>
          <w:bCs w:val="0"/>
          <w:color w:val="auto"/>
          <w:highlight w:val="none"/>
        </w:rPr>
        <w:t xml:space="preserve">六、商务条款响应及偏离表</w:t>
      </w:r>
      <w:bookmarkEnd w:id="32"/>
      <w:r/>
      <w:r/>
    </w:p>
    <w:tbl>
      <w:tblPr>
        <w:tblStyle w:val="705"/>
        <w:tblW w:w="8540"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textDirection w:val="lrTb"/>
            <w:noWrap w:val="false"/>
          </w:tcPr>
          <w:p>
            <w:pPr>
              <w:jc w:val="center"/>
              <w:spacing w:before="156"/>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2502" w:type="dxa"/>
            <w:textDirection w:val="lrTb"/>
            <w:noWrap w:val="false"/>
          </w:tcPr>
          <w:p>
            <w:pPr>
              <w:jc w:val="center"/>
              <w:spacing w:before="156"/>
              <w:rPr>
                <w:rFonts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W w:w="1837" w:type="dxa"/>
            <w:textDirection w:val="lrTb"/>
            <w:noWrap w:val="false"/>
          </w:tcPr>
          <w:p>
            <w:pPr>
              <w:jc w:val="center"/>
              <w:spacing w:before="156"/>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63" w:type="dxa"/>
            <w:textDirection w:val="lrTb"/>
            <w:noWrap w:val="false"/>
          </w:tcPr>
          <w:p>
            <w:pPr>
              <w:jc w:val="center"/>
              <w:spacing w:before="156"/>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W w:w="1638" w:type="dxa"/>
            <w:textDirection w:val="lrTb"/>
            <w:noWrap w:val="false"/>
          </w:tcPr>
          <w:p>
            <w:pPr>
              <w:jc w:val="center"/>
              <w:spacing w:before="156"/>
              <w:rPr>
                <w:rFonts w:ascii="宋体" w:hAnsi="宋体" w:cs="宋体"/>
                <w:color w:val="auto"/>
                <w:szCs w:val="21"/>
                <w:highlight w:val="none"/>
              </w:rPr>
            </w:pPr>
            <w:r>
              <w:rPr>
                <w:rFonts w:hint="eastAsia" w:ascii="宋体" w:hAnsi="宋体" w:cs="宋体"/>
                <w:color w:val="auto"/>
                <w:szCs w:val="21"/>
                <w:highlight w:val="none"/>
              </w:rPr>
              <w:t xml:space="preserve">交付时间</w:t>
            </w:r>
            <w:r/>
          </w:p>
        </w:tc>
        <w:tc>
          <w:tcPr>
            <w:tcW w:w="2502" w:type="dxa"/>
            <w:textDirection w:val="lrTb"/>
            <w:noWrap w:val="false"/>
          </w:tcPr>
          <w:p>
            <w:pPr>
              <w:jc w:val="center"/>
              <w:spacing w:before="156"/>
              <w:rPr>
                <w:rFonts w:ascii="宋体" w:hAnsi="宋体" w:cs="宋体"/>
                <w:color w:val="auto"/>
                <w:szCs w:val="21"/>
                <w:highlight w:val="none"/>
              </w:rPr>
            </w:pPr>
            <w:r>
              <w:rPr>
                <w:rFonts w:ascii="宋体" w:hAnsi="宋体" w:cs="宋体"/>
                <w:color w:val="auto"/>
                <w:szCs w:val="21"/>
                <w:highlight w:val="none"/>
              </w:rPr>
            </w:r>
            <w:r/>
          </w:p>
        </w:tc>
        <w:tc>
          <w:tcPr>
            <w:tcW w:w="1837" w:type="dxa"/>
            <w:textDirection w:val="lrTb"/>
            <w:noWrap w:val="false"/>
          </w:tcPr>
          <w:p>
            <w:pPr>
              <w:ind w:left="43"/>
              <w:jc w:val="center"/>
              <w:spacing w:before="156"/>
              <w:rPr>
                <w:rFonts w:ascii="宋体" w:hAnsi="宋体" w:cs="宋体"/>
                <w:color w:val="auto"/>
                <w:szCs w:val="21"/>
                <w:highlight w:val="none"/>
              </w:rPr>
            </w:pPr>
            <w:r>
              <w:rPr>
                <w:rFonts w:ascii="宋体" w:hAnsi="宋体" w:cs="宋体"/>
                <w:color w:val="auto"/>
                <w:szCs w:val="21"/>
                <w:highlight w:val="none"/>
              </w:rPr>
            </w:r>
            <w:r/>
          </w:p>
        </w:tc>
        <w:tc>
          <w:tcPr>
            <w:tcW w:w="2563" w:type="dxa"/>
            <w:textDirection w:val="lrTb"/>
            <w:noWrap w:val="false"/>
          </w:tcPr>
          <w:p>
            <w:pPr>
              <w:ind w:left="43"/>
              <w:jc w:val="center"/>
              <w:spacing w:before="156"/>
              <w:rPr>
                <w:rFonts w:ascii="宋体" w:hAnsi="宋体" w:cs="宋体"/>
                <w:color w:val="auto"/>
                <w:szCs w:val="21"/>
                <w:highlight w:val="none"/>
              </w:rPr>
            </w:pPr>
            <w:r>
              <w:rPr>
                <w:rFonts w:ascii="宋体" w:hAnsi="宋体" w:cs="宋体"/>
                <w:color w:val="auto"/>
                <w:szCs w:val="21"/>
                <w:highlight w:val="none"/>
              </w:rPr>
            </w:r>
            <w:r/>
          </w:p>
        </w:tc>
      </w:tr>
      <w:tr>
        <w:trPr>
          <w:trHeight w:val="440"/>
        </w:trPr>
        <w:tc>
          <w:tcPr>
            <w:tcW w:w="1638" w:type="dxa"/>
            <w:textDirection w:val="lrTb"/>
            <w:noWrap w:val="false"/>
          </w:tcPr>
          <w:p>
            <w:pPr>
              <w:jc w:val="center"/>
              <w:spacing w:before="156"/>
              <w:rPr>
                <w:rFonts w:ascii="宋体" w:hAnsi="宋体" w:cs="宋体"/>
                <w:color w:val="auto"/>
                <w:szCs w:val="21"/>
                <w:highlight w:val="none"/>
              </w:rPr>
            </w:pPr>
            <w:r>
              <w:rPr>
                <w:rFonts w:hint="eastAsia" w:ascii="宋体" w:hAnsi="宋体" w:cs="宋体"/>
                <w:color w:val="auto"/>
                <w:szCs w:val="21"/>
                <w:highlight w:val="none"/>
              </w:rPr>
              <w:t xml:space="preserve">交货方式</w:t>
            </w:r>
            <w:r/>
          </w:p>
        </w:tc>
        <w:tc>
          <w:tcPr>
            <w:tcW w:w="2502" w:type="dxa"/>
            <w:textDirection w:val="lrTb"/>
            <w:noWrap w:val="false"/>
          </w:tcPr>
          <w:p>
            <w:pPr>
              <w:spacing w:before="156"/>
              <w:rPr>
                <w:rFonts w:ascii="宋体" w:hAnsi="宋体" w:cs="宋体"/>
                <w:color w:val="auto"/>
                <w:szCs w:val="21"/>
                <w:highlight w:val="none"/>
              </w:rPr>
            </w:pPr>
            <w:r>
              <w:rPr>
                <w:rFonts w:ascii="宋体" w:hAnsi="宋体" w:cs="宋体"/>
                <w:color w:val="auto"/>
                <w:szCs w:val="21"/>
                <w:highlight w:val="none"/>
              </w:rPr>
            </w:r>
            <w:r/>
          </w:p>
        </w:tc>
        <w:tc>
          <w:tcPr>
            <w:tcW w:w="1837" w:type="dxa"/>
            <w:textDirection w:val="lrTb"/>
            <w:noWrap w:val="false"/>
          </w:tcPr>
          <w:p>
            <w:pPr>
              <w:ind w:left="43"/>
              <w:jc w:val="center"/>
              <w:spacing w:before="156"/>
              <w:rPr>
                <w:rFonts w:ascii="宋体" w:hAnsi="宋体" w:cs="宋体"/>
                <w:color w:val="auto"/>
                <w:szCs w:val="21"/>
                <w:highlight w:val="none"/>
              </w:rPr>
            </w:pPr>
            <w:r>
              <w:rPr>
                <w:rFonts w:ascii="宋体" w:hAnsi="宋体" w:cs="宋体"/>
                <w:color w:val="auto"/>
                <w:szCs w:val="21"/>
                <w:highlight w:val="none"/>
              </w:rPr>
            </w:r>
            <w:r/>
          </w:p>
        </w:tc>
        <w:tc>
          <w:tcPr>
            <w:tcW w:w="2563" w:type="dxa"/>
            <w:textDirection w:val="lrTb"/>
            <w:noWrap w:val="false"/>
          </w:tcPr>
          <w:p>
            <w:pPr>
              <w:ind w:left="43"/>
              <w:jc w:val="center"/>
              <w:spacing w:before="156"/>
              <w:rPr>
                <w:rFonts w:ascii="宋体" w:hAnsi="宋体" w:cs="宋体"/>
                <w:color w:val="auto"/>
                <w:szCs w:val="21"/>
                <w:highlight w:val="none"/>
              </w:rPr>
            </w:pPr>
            <w:r>
              <w:rPr>
                <w:rFonts w:ascii="宋体" w:hAnsi="宋体" w:cs="宋体"/>
                <w:color w:val="auto"/>
                <w:szCs w:val="21"/>
                <w:highlight w:val="none"/>
              </w:rPr>
            </w:r>
            <w:r/>
          </w:p>
        </w:tc>
      </w:tr>
      <w:tr>
        <w:trPr>
          <w:trHeight w:val="460"/>
        </w:trPr>
        <w:tc>
          <w:tcPr>
            <w:tcW w:w="1638" w:type="dxa"/>
            <w:textDirection w:val="lrTb"/>
            <w:noWrap w:val="false"/>
          </w:tcPr>
          <w:p>
            <w:pPr>
              <w:jc w:val="center"/>
              <w:spacing w:before="156"/>
              <w:rPr>
                <w:rFonts w:ascii="宋体" w:hAnsi="宋体" w:cs="宋体"/>
                <w:color w:val="auto"/>
                <w:szCs w:val="21"/>
                <w:highlight w:val="none"/>
              </w:rPr>
            </w:pPr>
            <w:r>
              <w:rPr>
                <w:rFonts w:hint="eastAsia" w:ascii="宋体" w:hAnsi="宋体" w:cs="宋体"/>
                <w:color w:val="auto"/>
                <w:szCs w:val="21"/>
                <w:highlight w:val="none"/>
              </w:rPr>
              <w:t xml:space="preserve">交货地点</w:t>
            </w:r>
            <w:r/>
          </w:p>
        </w:tc>
        <w:tc>
          <w:tcPr>
            <w:tcW w:w="2502" w:type="dxa"/>
            <w:textDirection w:val="lrTb"/>
            <w:noWrap w:val="false"/>
          </w:tcPr>
          <w:p>
            <w:pPr>
              <w:spacing w:before="156"/>
              <w:rPr>
                <w:rFonts w:ascii="宋体" w:hAnsi="宋体" w:cs="宋体"/>
                <w:color w:val="auto"/>
                <w:szCs w:val="21"/>
                <w:highlight w:val="none"/>
              </w:rPr>
            </w:pPr>
            <w:r>
              <w:rPr>
                <w:rFonts w:ascii="宋体" w:hAnsi="宋体" w:cs="宋体"/>
                <w:color w:val="auto"/>
                <w:szCs w:val="21"/>
                <w:highlight w:val="none"/>
              </w:rPr>
            </w:r>
            <w:r/>
          </w:p>
        </w:tc>
        <w:tc>
          <w:tcPr>
            <w:tcW w:w="1837" w:type="dxa"/>
            <w:textDirection w:val="lrTb"/>
            <w:noWrap w:val="false"/>
          </w:tcPr>
          <w:p>
            <w:pPr>
              <w:ind w:left="43"/>
              <w:jc w:val="center"/>
              <w:spacing w:before="156"/>
              <w:rPr>
                <w:rFonts w:ascii="宋体" w:hAnsi="宋体" w:cs="宋体"/>
                <w:color w:val="auto"/>
                <w:szCs w:val="21"/>
                <w:highlight w:val="none"/>
              </w:rPr>
            </w:pPr>
            <w:r>
              <w:rPr>
                <w:rFonts w:ascii="宋体" w:hAnsi="宋体" w:cs="宋体"/>
                <w:color w:val="auto"/>
                <w:szCs w:val="21"/>
                <w:highlight w:val="none"/>
              </w:rPr>
            </w:r>
            <w:r/>
          </w:p>
        </w:tc>
        <w:tc>
          <w:tcPr>
            <w:tcW w:w="2563" w:type="dxa"/>
            <w:textDirection w:val="lrTb"/>
            <w:noWrap w:val="false"/>
          </w:tcPr>
          <w:p>
            <w:pPr>
              <w:ind w:left="43"/>
              <w:jc w:val="center"/>
              <w:spacing w:before="156"/>
              <w:rPr>
                <w:rFonts w:ascii="宋体" w:hAnsi="宋体" w:cs="宋体"/>
                <w:color w:val="auto"/>
                <w:szCs w:val="21"/>
                <w:highlight w:val="none"/>
              </w:rPr>
            </w:pPr>
            <w:r>
              <w:rPr>
                <w:rFonts w:ascii="宋体" w:hAnsi="宋体" w:cs="宋体"/>
                <w:color w:val="auto"/>
                <w:szCs w:val="21"/>
                <w:highlight w:val="none"/>
              </w:rPr>
            </w:r>
            <w:r/>
          </w:p>
        </w:tc>
      </w:tr>
      <w:tr>
        <w:trPr>
          <w:trHeight w:val="402"/>
        </w:trPr>
        <w:tc>
          <w:tcPr>
            <w:tcW w:w="1638" w:type="dxa"/>
            <w:textDirection w:val="lrTb"/>
            <w:noWrap w:val="false"/>
          </w:tcPr>
          <w:p>
            <w:pPr>
              <w:jc w:val="center"/>
              <w:spacing w:before="156"/>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502" w:type="dxa"/>
            <w:textDirection w:val="lrTb"/>
            <w:noWrap w:val="false"/>
          </w:tcPr>
          <w:p>
            <w:pPr>
              <w:spacing w:before="156"/>
              <w:rPr>
                <w:rFonts w:ascii="宋体" w:hAnsi="宋体" w:cs="宋体"/>
                <w:color w:val="auto"/>
                <w:szCs w:val="21"/>
                <w:highlight w:val="none"/>
              </w:rPr>
            </w:pPr>
            <w:r>
              <w:rPr>
                <w:rFonts w:ascii="宋体" w:hAnsi="宋体" w:cs="宋体"/>
                <w:color w:val="auto"/>
                <w:szCs w:val="21"/>
                <w:highlight w:val="none"/>
              </w:rPr>
            </w:r>
            <w:r/>
          </w:p>
        </w:tc>
        <w:tc>
          <w:tcPr>
            <w:tcW w:w="1837" w:type="dxa"/>
            <w:textDirection w:val="lrTb"/>
            <w:noWrap w:val="false"/>
          </w:tcPr>
          <w:p>
            <w:pPr>
              <w:jc w:val="center"/>
              <w:spacing w:before="156"/>
              <w:rPr>
                <w:rFonts w:ascii="宋体" w:hAnsi="宋体" w:cs="宋体"/>
                <w:color w:val="auto"/>
                <w:szCs w:val="21"/>
                <w:highlight w:val="none"/>
              </w:rPr>
            </w:pPr>
            <w:r>
              <w:rPr>
                <w:rFonts w:ascii="宋体" w:hAnsi="宋体" w:cs="宋体"/>
                <w:color w:val="auto"/>
                <w:szCs w:val="21"/>
                <w:highlight w:val="none"/>
              </w:rPr>
            </w:r>
            <w:r/>
          </w:p>
        </w:tc>
        <w:tc>
          <w:tcPr>
            <w:tcW w:w="2563" w:type="dxa"/>
            <w:textDirection w:val="lrTb"/>
            <w:noWrap w:val="false"/>
          </w:tcPr>
          <w:p>
            <w:pPr>
              <w:jc w:val="center"/>
              <w:spacing w:before="156"/>
              <w:rPr>
                <w:rFonts w:ascii="宋体" w:hAnsi="宋体" w:cs="宋体"/>
                <w:color w:val="auto"/>
                <w:szCs w:val="21"/>
                <w:highlight w:val="none"/>
              </w:rPr>
            </w:pPr>
            <w:r>
              <w:rPr>
                <w:rFonts w:ascii="宋体" w:hAnsi="宋体" w:cs="宋体"/>
                <w:color w:val="auto"/>
                <w:szCs w:val="21"/>
                <w:highlight w:val="none"/>
              </w:rPr>
            </w:r>
            <w:r/>
          </w:p>
        </w:tc>
      </w:tr>
      <w:tr>
        <w:trPr/>
        <w:tc>
          <w:tcPr>
            <w:tcW w:w="1638" w:type="dxa"/>
            <w:textDirection w:val="lrTb"/>
            <w:noWrap w:val="false"/>
          </w:tcPr>
          <w:p>
            <w:pPr>
              <w:jc w:val="center"/>
              <w:spacing w:before="156"/>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W w:w="2502" w:type="dxa"/>
            <w:textDirection w:val="lrTb"/>
            <w:noWrap w:val="false"/>
          </w:tcPr>
          <w:p>
            <w:pPr>
              <w:jc w:val="center"/>
              <w:spacing w:before="156"/>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837" w:type="dxa"/>
            <w:textDirection w:val="lrTb"/>
            <w:noWrap w:val="false"/>
          </w:tcPr>
          <w:p>
            <w:pPr>
              <w:jc w:val="center"/>
              <w:spacing w:before="156"/>
              <w:rPr>
                <w:rFonts w:ascii="宋体" w:hAnsi="宋体" w:cs="宋体"/>
                <w:color w:val="auto"/>
                <w:szCs w:val="21"/>
                <w:highlight w:val="none"/>
              </w:rPr>
            </w:pPr>
            <w:r>
              <w:rPr>
                <w:rFonts w:ascii="宋体" w:hAnsi="宋体" w:cs="宋体"/>
                <w:color w:val="auto"/>
                <w:szCs w:val="21"/>
                <w:highlight w:val="none"/>
              </w:rPr>
            </w:r>
            <w:r/>
          </w:p>
        </w:tc>
        <w:tc>
          <w:tcPr>
            <w:tcW w:w="2563" w:type="dxa"/>
            <w:textDirection w:val="lrTb"/>
            <w:noWrap w:val="false"/>
          </w:tcPr>
          <w:p>
            <w:pPr>
              <w:jc w:val="center"/>
              <w:spacing w:before="156"/>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widowControl/>
        <w:rPr>
          <w:rFonts w:ascii="宋体" w:hAnsi="宋体" w:cs="宋体"/>
          <w:b/>
          <w:color w:val="auto"/>
          <w:highlight w:val="none"/>
        </w:rPr>
      </w:pPr>
      <w:r/>
      <w:bookmarkStart w:id="33" w:name="_Hlt26580838"/>
      <w:r/>
      <w:bookmarkEnd w:id="33"/>
      <w:r/>
      <w:bookmarkStart w:id="34" w:name="_Hlt26782999"/>
      <w:r/>
      <w:bookmarkEnd w:id="34"/>
      <w:r/>
      <w:bookmarkStart w:id="35" w:name="_Hlt26671372"/>
      <w:r/>
      <w:bookmarkEnd w:id="35"/>
      <w:r/>
      <w:bookmarkStart w:id="36" w:name="_Hlt26955056"/>
      <w:r/>
      <w:bookmarkEnd w:id="36"/>
      <w:r/>
      <w:bookmarkStart w:id="37" w:name="_Hlt26671343"/>
      <w:r/>
      <w:bookmarkEnd w:id="37"/>
      <w:r/>
      <w:bookmarkStart w:id="38" w:name="_Hlt26609391"/>
      <w:r/>
      <w:bookmarkEnd w:id="38"/>
      <w:r/>
      <w:bookmarkStart w:id="39" w:name="_Hlt26955064"/>
      <w:r/>
      <w:bookmarkEnd w:id="39"/>
      <w:r/>
      <w:bookmarkStart w:id="40" w:name="_Hlt24879081"/>
      <w:r/>
      <w:bookmarkEnd w:id="40"/>
      <w:r>
        <w:rPr>
          <w:rFonts w:hint="eastAsia" w:ascii="宋体" w:hAnsi="宋体" w:cs="宋体"/>
          <w:b/>
          <w:color w:val="auto"/>
          <w:highlight w:val="none"/>
        </w:rPr>
        <w:br w:type="page" w:clear="all"/>
      </w:r>
      <w:r/>
    </w:p>
    <w:p>
      <w:pPr>
        <w:jc w:val="center"/>
        <w:spacing w:before="312" w:line="360" w:lineRule="auto"/>
        <w:rPr>
          <w:rFonts w:ascii="宋体" w:hAnsi="宋体" w:cs="宋体"/>
          <w:b/>
          <w:color w:val="auto"/>
          <w:highlight w:val="none"/>
        </w:rPr>
      </w:pPr>
      <w:r>
        <w:rPr>
          <w:rFonts w:hint="eastAsia" w:ascii="宋体" w:hAnsi="宋体" w:cs="宋体"/>
          <w:b/>
          <w:color w:val="auto"/>
          <w:highlight w:val="none"/>
        </w:rPr>
        <w:t xml:space="preserve">主要标的信息（成交后将公示）</w:t>
      </w:r>
      <w:r/>
    </w:p>
    <w:p>
      <w:pPr>
        <w:spacing w:after="312" w:line="360" w:lineRule="auto"/>
        <w:rPr>
          <w:rFonts w:ascii="宋体" w:hAnsi="宋体" w:cs="宋体"/>
          <w:b/>
          <w:color w:val="auto"/>
          <w:highlight w:val="none"/>
        </w:rPr>
      </w:pPr>
      <w:r>
        <w:rPr>
          <w:rFonts w:hint="eastAsia" w:ascii="宋体" w:hAnsi="宋体" w:cs="宋体"/>
          <w:color w:val="auto"/>
          <w:highlight w:val="none"/>
        </w:rPr>
        <w:t xml:space="preserve">供应商全称：</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84"/>
        </w:trPr>
        <w:tc>
          <w:tcPr>
            <w:tcW w:w="8149"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hAnsi="宋体" w:cs="宋体"/>
          <w:color w:val="auto"/>
          <w:highlight w:val="none"/>
          <w:lang w:eastAsia="zh-CN"/>
        </w:rPr>
      </w:pPr>
      <w:r>
        <w:rPr>
          <w:rFonts w:hAnsi="宋体" w:cs="宋体"/>
          <w:color w:val="auto"/>
          <w:highlight w:val="none"/>
          <w:lang w:eastAsia="zh-CN"/>
        </w:rPr>
      </w:r>
      <w:r/>
    </w:p>
    <w:p>
      <w:pPr>
        <w:pStyle w:val="940"/>
        <w:rPr>
          <w:rFonts w:ascii="宋体" w:eastAsia="宋体" w:cs="宋体"/>
          <w:color w:val="auto"/>
          <w:highlight w:val="none"/>
        </w:rPr>
      </w:pPr>
      <w:r>
        <w:rPr>
          <w:rFonts w:ascii="宋体" w:eastAsia="宋体" w:cs="宋体"/>
          <w:color w:val="auto"/>
          <w:highlight w:val="none"/>
        </w:rPr>
      </w:r>
      <w:r/>
    </w:p>
    <w:p>
      <w:pPr>
        <w:pStyle w:val="942"/>
        <w:rPr>
          <w:rFonts w:hAnsi="宋体" w:cs="宋体"/>
          <w:color w:val="auto"/>
          <w:highlight w:val="none"/>
        </w:rPr>
      </w:pPr>
      <w:r>
        <w:rPr>
          <w:rFonts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38"/>
        <w:rPr>
          <w:rFonts w:hAnsi="宋体" w:cs="宋体"/>
          <w:color w:val="auto"/>
          <w:highlight w:val="none"/>
        </w:rPr>
      </w:pPr>
      <w:r>
        <w:rPr>
          <w:rFonts w:hAnsi="宋体" w:cs="宋体"/>
          <w:color w:val="auto"/>
          <w:highlight w:val="none"/>
        </w:rPr>
      </w:r>
      <w:r/>
    </w:p>
    <w:p>
      <w:pPr>
        <w:pStyle w:val="939"/>
        <w:rPr>
          <w:rFonts w:hAnsi="宋体" w:cs="宋体"/>
          <w:color w:val="auto"/>
          <w:highlight w:val="none"/>
          <w:lang w:eastAsia="zh-CN"/>
        </w:rPr>
      </w:pPr>
      <w:r>
        <w:rPr>
          <w:rFonts w:hAnsi="宋体" w:cs="宋体"/>
          <w:color w:val="auto"/>
          <w:highlight w:val="none"/>
          <w:lang w:eastAsia="zh-CN"/>
        </w:rPr>
      </w:r>
      <w:r/>
    </w:p>
    <w:p>
      <w:pPr>
        <w:pStyle w:val="940"/>
        <w:rPr>
          <w:rFonts w:ascii="宋体" w:eastAsia="宋体" w:cs="宋体"/>
          <w:color w:val="auto"/>
          <w:highlight w:val="none"/>
        </w:rPr>
      </w:pPr>
      <w:r>
        <w:rPr>
          <w:rFonts w:ascii="宋体" w:eastAsia="宋体" w:cs="宋体"/>
          <w:color w:val="auto"/>
          <w:highlight w:val="none"/>
        </w:rPr>
      </w:r>
      <w:r/>
    </w:p>
    <w:p>
      <w:pPr>
        <w:pStyle w:val="942"/>
        <w:rPr>
          <w:rFonts w:hAnsi="宋体" w:cs="宋体"/>
          <w:color w:val="auto"/>
          <w:highlight w:val="none"/>
        </w:rPr>
      </w:pPr>
      <w:r>
        <w:rPr>
          <w:rFonts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38"/>
        <w:rPr>
          <w:rFonts w:hAnsi="宋体" w:cs="宋体"/>
          <w:color w:val="auto"/>
          <w:highlight w:val="none"/>
        </w:rPr>
      </w:pPr>
      <w:r>
        <w:rPr>
          <w:rFonts w:hAnsi="宋体" w:cs="宋体"/>
          <w:color w:val="auto"/>
          <w:highlight w:val="none"/>
        </w:rPr>
      </w:r>
      <w:r/>
    </w:p>
    <w:p>
      <w:pPr>
        <w:pStyle w:val="939"/>
        <w:rPr>
          <w:rFonts w:hAnsi="宋体" w:cs="宋体"/>
          <w:color w:val="auto"/>
          <w:highlight w:val="none"/>
          <w:lang w:eastAsia="zh-CN"/>
        </w:rPr>
      </w:pPr>
      <w:r>
        <w:rPr>
          <w:rFonts w:hAnsi="宋体" w:cs="宋体"/>
          <w:color w:val="auto"/>
          <w:highlight w:val="none"/>
          <w:lang w:eastAsia="zh-CN"/>
        </w:rPr>
      </w:r>
      <w:r/>
    </w:p>
    <w:p>
      <w:pPr>
        <w:pStyle w:val="940"/>
        <w:rPr>
          <w:rFonts w:ascii="宋体" w:eastAsia="宋体" w:cs="宋体"/>
          <w:color w:val="auto"/>
          <w:highlight w:val="none"/>
        </w:rPr>
      </w:pPr>
      <w:r>
        <w:rPr>
          <w:rFonts w:ascii="宋体" w:eastAsia="宋体" w:cs="宋体"/>
          <w:color w:val="auto"/>
          <w:highlight w:val="none"/>
        </w:rPr>
      </w:r>
      <w:r/>
    </w:p>
    <w:p>
      <w:pPr>
        <w:pStyle w:val="942"/>
        <w:rPr>
          <w:rFonts w:hAnsi="宋体" w:cs="宋体"/>
          <w:color w:val="auto"/>
          <w:highlight w:val="none"/>
        </w:rPr>
      </w:pPr>
      <w:r>
        <w:rPr>
          <w:rFonts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38"/>
        <w:rPr>
          <w:rFonts w:hAnsi="宋体" w:cs="宋体"/>
          <w:color w:val="auto"/>
          <w:highlight w:val="none"/>
        </w:rPr>
      </w:pPr>
      <w:r>
        <w:rPr>
          <w:rFonts w:hAnsi="宋体" w:cs="宋体"/>
          <w:color w:val="auto"/>
          <w:highlight w:val="none"/>
        </w:rPr>
      </w:r>
      <w:r/>
    </w:p>
    <w:p>
      <w:pPr>
        <w:pStyle w:val="939"/>
        <w:rPr>
          <w:rFonts w:hAnsi="宋体" w:cs="宋体"/>
          <w:color w:val="auto"/>
          <w:highlight w:val="none"/>
          <w:lang w:eastAsia="zh-CN"/>
        </w:rPr>
      </w:pPr>
      <w:r>
        <w:rPr>
          <w:rFonts w:hAnsi="宋体" w:cs="宋体"/>
          <w:color w:val="auto"/>
          <w:highlight w:val="none"/>
          <w:lang w:eastAsia="zh-CN"/>
        </w:rPr>
      </w:r>
      <w:r/>
    </w:p>
    <w:p>
      <w:pPr>
        <w:pStyle w:val="940"/>
        <w:rPr>
          <w:rFonts w:ascii="宋体" w:eastAsia="宋体" w:cs="宋体"/>
          <w:color w:val="auto"/>
          <w:highlight w:val="none"/>
        </w:rPr>
      </w:pPr>
      <w:r>
        <w:rPr>
          <w:rFonts w:ascii="宋体" w:eastAsia="宋体" w:cs="宋体"/>
          <w:color w:val="auto"/>
          <w:highlight w:val="none"/>
        </w:rPr>
      </w:r>
      <w:r/>
    </w:p>
    <w:p>
      <w:pPr>
        <w:pStyle w:val="942"/>
        <w:rPr>
          <w:rFonts w:hAnsi="宋体" w:cs="宋体"/>
          <w:color w:val="auto"/>
          <w:highlight w:val="none"/>
        </w:rPr>
      </w:pPr>
      <w:r>
        <w:rPr>
          <w:rFonts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916"/>
        <w:jc w:val="both"/>
        <w:spacing w:line="223" w:lineRule="exact"/>
        <w:rPr>
          <w:rFonts w:ascii="宋体" w:hAnsi="宋体" w:eastAsia="宋体" w:cs="宋体"/>
          <w:color w:val="auto"/>
          <w:highlight w:val="none"/>
        </w:rPr>
      </w:pPr>
      <w:r>
        <w:rPr>
          <w:rFonts w:ascii="宋体" w:hAnsi="宋体" w:eastAsia="宋体" w:cs="宋体"/>
          <w:color w:val="auto"/>
          <w:highlight w:val="none"/>
        </w:rPr>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Light">
    <w:panose1 w:val="02010600030101010101"/>
  </w:font>
  <w:font w:name="黑体">
    <w:panose1 w:val="02010609060101010101"/>
  </w:font>
  <w:font w:name="幼圆">
    <w:panose1 w:val="02010509060101010101"/>
  </w:font>
  <w:font w:name="Cambria">
    <w:panose1 w:val="02040503050406030204"/>
  </w:font>
  <w:font w:name="Courier New">
    <w:panose1 w:val="02070309020205020404"/>
  </w:font>
  <w:font w:name="楷体_GB2312">
    <w:panose1 w:val="02010609060101010101"/>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fldChar w:fldCharType="begin"/>
    </w:r>
    <w:r>
      <w:instrText xml:space="preserve">PAGE   \* MERGEFORMAT</w:instrText>
    </w:r>
    <w:r>
      <w:fldChar w:fldCharType="separate"/>
    </w:r>
    <w:r>
      <w:rPr>
        <w:lang w:val="zh-CN"/>
      </w:rPr>
      <w:t xml:space="preserve">18</w:t>
    </w:r>
    <w:r>
      <w:rPr>
        <w:lang w:val="zh-CN"/>
      </w:rPr>
      <w:fldChar w:fldCharType="end"/>
    </w:r>
    <w:r/>
  </w:p>
  <w:p>
    <w:pPr>
      <w:pStyle w:val="9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fldChar w:fldCharType="begin"/>
    </w:r>
    <w:r>
      <w:instrText xml:space="preserve">PAGE   \* MERGEFORMAT</w:instrText>
    </w:r>
    <w:r>
      <w:fldChar w:fldCharType="separate"/>
    </w:r>
    <w:r>
      <w:rPr>
        <w:lang w:val="zh-CN"/>
      </w:rPr>
      <w:t xml:space="preserve">51</w:t>
    </w:r>
    <w:r>
      <w:rPr>
        <w:lang w:val="zh-CN"/>
      </w:rPr>
      <w:fldChar w:fldCharType="end"/>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sz w:val="36"/>
        <w:szCs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1"/>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5">
    <w:name w:val="Heading 1"/>
    <w:basedOn w:val="694"/>
    <w:next w:val="694"/>
    <w:link w:val="759"/>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706"/>
    <w:link w:val="760"/>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706"/>
    <w:link w:val="761"/>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62"/>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63"/>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64"/>
    <w:uiPriority w:val="9"/>
    <w:unhideWhenUsed/>
    <w:qFormat/>
    <w:pPr>
      <w:keepLines/>
      <w:keepNext/>
      <w:spacing w:before="320" w:after="200"/>
      <w:outlineLvl w:val="5"/>
    </w:pPr>
    <w:rPr>
      <w:rFonts w:ascii="Arial" w:hAnsi="Arial" w:eastAsia="Arial" w:cs="Arial"/>
      <w:b/>
      <w:bCs/>
      <w:sz w:val="22"/>
    </w:rPr>
  </w:style>
  <w:style w:type="paragraph" w:styleId="701">
    <w:name w:val="Heading 7"/>
    <w:basedOn w:val="694"/>
    <w:next w:val="694"/>
    <w:link w:val="765"/>
    <w:uiPriority w:val="9"/>
    <w:unhideWhenUsed/>
    <w:qFormat/>
    <w:pPr>
      <w:keepLines/>
      <w:keepNext/>
      <w:spacing w:before="320" w:after="200"/>
      <w:outlineLvl w:val="6"/>
    </w:pPr>
    <w:rPr>
      <w:rFonts w:ascii="Arial" w:hAnsi="Arial" w:eastAsia="Arial" w:cs="Arial"/>
      <w:b/>
      <w:bCs/>
      <w:i/>
      <w:iCs/>
      <w:sz w:val="22"/>
    </w:rPr>
  </w:style>
  <w:style w:type="paragraph" w:styleId="702">
    <w:name w:val="Heading 8"/>
    <w:basedOn w:val="694"/>
    <w:next w:val="694"/>
    <w:link w:val="766"/>
    <w:uiPriority w:val="9"/>
    <w:unhideWhenUsed/>
    <w:qFormat/>
    <w:pPr>
      <w:keepLines/>
      <w:keepNext/>
      <w:spacing w:before="320" w:after="200"/>
      <w:outlineLvl w:val="7"/>
    </w:pPr>
    <w:rPr>
      <w:rFonts w:ascii="Arial" w:hAnsi="Arial" w:eastAsia="Arial" w:cs="Arial"/>
      <w:i/>
      <w:iCs/>
      <w:sz w:val="22"/>
    </w:rPr>
  </w:style>
  <w:style w:type="paragraph" w:styleId="703">
    <w:name w:val="Heading 9"/>
    <w:basedOn w:val="694"/>
    <w:next w:val="694"/>
    <w:link w:val="767"/>
    <w:uiPriority w:val="9"/>
    <w:unhideWhenUsed/>
    <w:qFormat/>
    <w:pPr>
      <w:keepLines/>
      <w:keepNext/>
      <w:spacing w:before="320" w:after="200"/>
      <w:outlineLvl w:val="8"/>
    </w:pPr>
    <w:rPr>
      <w:rFonts w:ascii="Arial" w:hAnsi="Arial" w:eastAsia="Arial" w:cs="Arial"/>
      <w:i/>
      <w:iCs/>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Normal Indent"/>
    <w:basedOn w:val="694"/>
    <w:uiPriority w:val="0"/>
    <w:unhideWhenUsed/>
    <w:qFormat/>
    <w:pPr>
      <w:ind w:firstLine="420"/>
    </w:pPr>
    <w:rPr>
      <w:rFonts w:ascii="Calibri" w:hAnsi="Calibri"/>
    </w:rPr>
  </w:style>
  <w:style w:type="paragraph" w:styleId="707">
    <w:name w:val="toc 7"/>
    <w:basedOn w:val="694"/>
    <w:next w:val="694"/>
    <w:uiPriority w:val="39"/>
    <w:unhideWhenUsed/>
    <w:qFormat/>
    <w:pPr>
      <w:ind w:left="1701"/>
      <w:spacing w:after="57"/>
    </w:pPr>
  </w:style>
  <w:style w:type="paragraph" w:styleId="708">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Body Text"/>
    <w:basedOn w:val="694"/>
    <w:next w:val="710"/>
    <w:uiPriority w:val="0"/>
    <w:qFormat/>
    <w:rPr>
      <w:rFonts w:ascii="楷体_GB2312" w:hAnsi="Arial" w:eastAsia="楷体_GB2312"/>
      <w:sz w:val="28"/>
      <w:szCs w:val="28"/>
    </w:rPr>
  </w:style>
  <w:style w:type="paragraph" w:styleId="710">
    <w:name w:val="Body Text 2"/>
    <w:basedOn w:val="694"/>
    <w:uiPriority w:val="0"/>
    <w:qFormat/>
    <w:pPr>
      <w:spacing w:after="120" w:line="480" w:lineRule="auto"/>
    </w:pPr>
  </w:style>
  <w:style w:type="paragraph" w:styleId="711">
    <w:name w:val="Body Text Indent"/>
    <w:basedOn w:val="694"/>
    <w:uiPriority w:val="99"/>
    <w:unhideWhenUsed/>
    <w:qFormat/>
    <w:pPr>
      <w:ind w:firstLine="540"/>
      <w:spacing w:line="400" w:lineRule="exact"/>
    </w:pPr>
    <w:rPr>
      <w:sz w:val="24"/>
    </w:rPr>
  </w:style>
  <w:style w:type="paragraph" w:styleId="712">
    <w:name w:val="toc 5"/>
    <w:basedOn w:val="694"/>
    <w:next w:val="694"/>
    <w:uiPriority w:val="39"/>
    <w:unhideWhenUsed/>
    <w:qFormat/>
    <w:pPr>
      <w:ind w:left="1134"/>
      <w:spacing w:after="57"/>
    </w:pPr>
  </w:style>
  <w:style w:type="paragraph" w:styleId="713">
    <w:name w:val="toc 3"/>
    <w:basedOn w:val="694"/>
    <w:next w:val="694"/>
    <w:uiPriority w:val="39"/>
    <w:unhideWhenUsed/>
    <w:qFormat/>
    <w:pPr>
      <w:ind w:left="567"/>
      <w:spacing w:after="57"/>
    </w:pPr>
  </w:style>
  <w:style w:type="paragraph" w:styleId="714">
    <w:name w:val="Plain Text"/>
    <w:basedOn w:val="694"/>
    <w:uiPriority w:val="0"/>
    <w:qFormat/>
    <w:rPr>
      <w:rFonts w:ascii="宋体" w:hAnsi="Courier New"/>
      <w:sz w:val="20"/>
      <w:szCs w:val="21"/>
    </w:rPr>
  </w:style>
  <w:style w:type="paragraph" w:styleId="715">
    <w:name w:val="toc 8"/>
    <w:basedOn w:val="694"/>
    <w:next w:val="694"/>
    <w:uiPriority w:val="39"/>
    <w:unhideWhenUsed/>
    <w:qFormat/>
    <w:pPr>
      <w:ind w:left="1984"/>
      <w:spacing w:after="57"/>
    </w:pPr>
  </w:style>
  <w:style w:type="paragraph" w:styleId="716">
    <w:name w:val="endnote text"/>
    <w:basedOn w:val="694"/>
    <w:link w:val="905"/>
    <w:uiPriority w:val="99"/>
    <w:semiHidden/>
    <w:unhideWhenUsed/>
    <w:qFormat/>
    <w:rPr>
      <w:sz w:val="20"/>
    </w:rPr>
  </w:style>
  <w:style w:type="paragraph" w:styleId="717">
    <w:name w:val="Balloon Text"/>
    <w:basedOn w:val="694"/>
    <w:link w:val="948"/>
    <w:uiPriority w:val="99"/>
    <w:semiHidden/>
    <w:unhideWhenUsed/>
    <w:qFormat/>
    <w:rPr>
      <w:sz w:val="18"/>
      <w:szCs w:val="18"/>
    </w:rPr>
  </w:style>
  <w:style w:type="paragraph" w:styleId="718">
    <w:name w:val="Footer"/>
    <w:basedOn w:val="694"/>
    <w:link w:val="778"/>
    <w:uiPriority w:val="99"/>
    <w:unhideWhenUsed/>
    <w:qFormat/>
    <w:pPr>
      <w:tabs>
        <w:tab w:val="center" w:pos="7143" w:leader="none"/>
        <w:tab w:val="right" w:pos="14287" w:leader="none"/>
      </w:tabs>
    </w:pPr>
  </w:style>
  <w:style w:type="paragraph" w:styleId="719">
    <w:name w:val="envelope return"/>
    <w:basedOn w:val="694"/>
    <w:uiPriority w:val="99"/>
    <w:qFormat/>
    <w:rPr>
      <w:rFonts w:ascii="Arial" w:hAnsi="Arial"/>
    </w:rPr>
  </w:style>
  <w:style w:type="paragraph" w:styleId="720">
    <w:name w:val="Header"/>
    <w:basedOn w:val="694"/>
    <w:link w:val="776"/>
    <w:uiPriority w:val="99"/>
    <w:unhideWhenUsed/>
    <w:qFormat/>
    <w:pPr>
      <w:tabs>
        <w:tab w:val="center" w:pos="7143" w:leader="none"/>
        <w:tab w:val="right" w:pos="14287" w:leader="none"/>
      </w:tabs>
    </w:pPr>
  </w:style>
  <w:style w:type="paragraph" w:styleId="721">
    <w:name w:val="toc 1"/>
    <w:basedOn w:val="694"/>
    <w:next w:val="694"/>
    <w:uiPriority w:val="39"/>
    <w:unhideWhenUsed/>
    <w:qFormat/>
    <w:pPr>
      <w:spacing w:after="57"/>
    </w:pPr>
  </w:style>
  <w:style w:type="paragraph" w:styleId="722">
    <w:name w:val="toc 4"/>
    <w:basedOn w:val="694"/>
    <w:next w:val="694"/>
    <w:uiPriority w:val="39"/>
    <w:unhideWhenUsed/>
    <w:qFormat/>
    <w:pPr>
      <w:ind w:left="850"/>
      <w:spacing w:after="57"/>
    </w:pPr>
  </w:style>
  <w:style w:type="paragraph" w:styleId="723">
    <w:name w:val="Subtitle"/>
    <w:basedOn w:val="694"/>
    <w:next w:val="694"/>
    <w:link w:val="771"/>
    <w:uiPriority w:val="11"/>
    <w:qFormat/>
    <w:pPr>
      <w:spacing w:before="200" w:after="200"/>
    </w:pPr>
    <w:rPr>
      <w:sz w:val="24"/>
      <w:szCs w:val="24"/>
    </w:rPr>
  </w:style>
  <w:style w:type="paragraph" w:styleId="724">
    <w:name w:val="footnote text"/>
    <w:basedOn w:val="694"/>
    <w:link w:val="904"/>
    <w:uiPriority w:val="99"/>
    <w:semiHidden/>
    <w:unhideWhenUsed/>
    <w:qFormat/>
    <w:pPr>
      <w:spacing w:after="40"/>
    </w:pPr>
    <w:rPr>
      <w:sz w:val="18"/>
    </w:rPr>
  </w:style>
  <w:style w:type="paragraph" w:styleId="725">
    <w:name w:val="toc 6"/>
    <w:basedOn w:val="694"/>
    <w:next w:val="694"/>
    <w:uiPriority w:val="39"/>
    <w:unhideWhenUsed/>
    <w:qFormat/>
    <w:pPr>
      <w:ind w:left="1417"/>
      <w:spacing w:after="57"/>
    </w:pPr>
  </w:style>
  <w:style w:type="paragraph" w:styleId="726">
    <w:name w:val="table of figures"/>
    <w:basedOn w:val="694"/>
    <w:next w:val="694"/>
    <w:uiPriority w:val="99"/>
    <w:unhideWhenUsed/>
    <w:qFormat/>
  </w:style>
  <w:style w:type="paragraph" w:styleId="727">
    <w:name w:val="toc 2"/>
    <w:basedOn w:val="694"/>
    <w:next w:val="694"/>
    <w:uiPriority w:val="39"/>
    <w:unhideWhenUsed/>
    <w:qFormat/>
    <w:pPr>
      <w:ind w:left="283"/>
      <w:spacing w:after="57"/>
    </w:pPr>
  </w:style>
  <w:style w:type="paragraph" w:styleId="728">
    <w:name w:val="toc 9"/>
    <w:basedOn w:val="694"/>
    <w:next w:val="694"/>
    <w:uiPriority w:val="39"/>
    <w:unhideWhenUsed/>
    <w:qFormat/>
    <w:pPr>
      <w:ind w:left="2268"/>
      <w:spacing w:after="57"/>
    </w:pPr>
  </w:style>
  <w:style w:type="paragraph" w:styleId="729">
    <w:name w:val="Normal (Web)"/>
    <w:basedOn w:val="694"/>
    <w:uiPriority w:val="99"/>
    <w:semiHidden/>
    <w:unhideWhenUsed/>
    <w:qFormat/>
    <w:pPr>
      <w:jc w:val="left"/>
      <w:spacing w:beforeAutospacing="1" w:afterAutospacing="1"/>
    </w:pPr>
    <w:rPr>
      <w:sz w:val="24"/>
    </w:rPr>
  </w:style>
  <w:style w:type="paragraph" w:styleId="730">
    <w:name w:val="Title"/>
    <w:basedOn w:val="694"/>
    <w:next w:val="694"/>
    <w:link w:val="770"/>
    <w:uiPriority w:val="10"/>
    <w:qFormat/>
    <w:pPr>
      <w:contextualSpacing/>
      <w:spacing w:before="300" w:after="200"/>
    </w:pPr>
    <w:rPr>
      <w:sz w:val="48"/>
      <w:szCs w:val="48"/>
    </w:rPr>
  </w:style>
  <w:style w:type="paragraph" w:styleId="731">
    <w:name w:val="Body Text First Indent"/>
    <w:basedOn w:val="709"/>
    <w:uiPriority w:val="0"/>
    <w:unhideWhenUsed/>
    <w:qFormat/>
    <w:pPr>
      <w:ind w:firstLine="420"/>
      <w:spacing w:after="120"/>
    </w:pPr>
    <w:rPr>
      <w:rFonts w:ascii="Times New Roman" w:hAnsi="Times New Roman" w:eastAsia="宋体"/>
      <w:sz w:val="21"/>
      <w:szCs w:val="21"/>
    </w:rPr>
  </w:style>
  <w:style w:type="paragraph" w:styleId="732">
    <w:name w:val="Body Text First Indent 2"/>
    <w:basedOn w:val="711"/>
    <w:uiPriority w:val="0"/>
    <w:qFormat/>
    <w:pPr>
      <w:ind w:firstLine="420"/>
    </w:pPr>
    <w:rPr>
      <w:rFonts w:ascii="楷体_GB2312" w:hAnsi="Times New Roman" w:eastAsia="楷体_GB2312"/>
      <w:sz w:val="21"/>
    </w:rPr>
  </w:style>
  <w:style w:type="table" w:styleId="7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FollowedHyperlink"/>
    <w:basedOn w:val="704"/>
    <w:uiPriority w:val="99"/>
    <w:semiHidden/>
    <w:unhideWhenUsed/>
    <w:qFormat/>
    <w:rPr>
      <w:color w:val="3c6e31"/>
      <w:u w:val="single"/>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HTML Code"/>
    <w:basedOn w:val="704"/>
    <w:uiPriority w:val="99"/>
    <w:semiHidden/>
    <w:unhideWhenUsed/>
    <w:qFormat/>
    <w:rPr>
      <w:rFonts w:ascii="Courier New" w:hAnsi="Courier New"/>
      <w:color w:val="2f332a"/>
      <w:sz w:val="20"/>
    </w:rPr>
  </w:style>
  <w:style w:type="character" w:styleId="738">
    <w:name w:val="footnote reference"/>
    <w:uiPriority w:val="99"/>
    <w:unhideWhenUsed/>
    <w:qFormat/>
    <w:rPr>
      <w:vertAlign w:val="superscript"/>
    </w:rPr>
  </w:style>
  <w:style w:type="paragraph" w:styleId="739" w:customStyle="1">
    <w:name w:val="TOC Heading"/>
    <w:uiPriority w:val="39"/>
    <w:unhideWhenUsed/>
    <w:qFormat/>
    <w:rPr>
      <w:rFonts w:hint="default" w:ascii="Times New Roman" w:hAnsi="Times New Roman" w:eastAsia="宋体" w:cs="Times New Roman"/>
    </w:rPr>
  </w:style>
  <w:style w:type="paragraph" w:styleId="740" w:customStyle="1">
    <w:name w:val="索引 41"/>
    <w:basedOn w:val="694"/>
    <w:next w:val="694"/>
    <w:uiPriority w:val="99"/>
    <w:unhideWhenUsed/>
    <w:qFormat/>
    <w:pPr>
      <w:ind w:left="600"/>
      <w:jc w:val="both"/>
    </w:pPr>
    <w:rPr>
      <w:lang w:val="en-US" w:eastAsia="zh-CN"/>
    </w:rPr>
  </w:style>
  <w:style w:type="character" w:styleId="741" w:customStyle="1">
    <w:name w:val="Heading 1 Char"/>
    <w:basedOn w:val="704"/>
    <w:uiPriority w:val="9"/>
    <w:qFormat/>
    <w:rPr>
      <w:rFonts w:ascii="Arial" w:hAnsi="Arial" w:eastAsia="Arial" w:cs="Arial"/>
      <w:sz w:val="40"/>
      <w:szCs w:val="40"/>
    </w:rPr>
  </w:style>
  <w:style w:type="character" w:styleId="742" w:customStyle="1">
    <w:name w:val="Heading 2 Char"/>
    <w:basedOn w:val="704"/>
    <w:uiPriority w:val="9"/>
    <w:qFormat/>
    <w:rPr>
      <w:rFonts w:ascii="Arial" w:hAnsi="Arial" w:eastAsia="Arial" w:cs="Arial"/>
      <w:sz w:val="34"/>
    </w:rPr>
  </w:style>
  <w:style w:type="character" w:styleId="743" w:customStyle="1">
    <w:name w:val="Heading 3 Char"/>
    <w:basedOn w:val="704"/>
    <w:uiPriority w:val="9"/>
    <w:qFormat/>
    <w:rPr>
      <w:rFonts w:ascii="Arial" w:hAnsi="Arial" w:eastAsia="Arial" w:cs="Arial"/>
      <w:sz w:val="30"/>
      <w:szCs w:val="30"/>
    </w:rPr>
  </w:style>
  <w:style w:type="character" w:styleId="744" w:customStyle="1">
    <w:name w:val="Heading 4 Char"/>
    <w:basedOn w:val="704"/>
    <w:uiPriority w:val="9"/>
    <w:qFormat/>
    <w:rPr>
      <w:rFonts w:ascii="Arial" w:hAnsi="Arial" w:eastAsia="Arial" w:cs="Arial"/>
      <w:b/>
      <w:bCs/>
      <w:sz w:val="26"/>
      <w:szCs w:val="26"/>
    </w:rPr>
  </w:style>
  <w:style w:type="character" w:styleId="745" w:customStyle="1">
    <w:name w:val="Heading 5 Char"/>
    <w:basedOn w:val="704"/>
    <w:uiPriority w:val="9"/>
    <w:qFormat/>
    <w:rPr>
      <w:rFonts w:ascii="Arial" w:hAnsi="Arial" w:eastAsia="Arial" w:cs="Arial"/>
      <w:b/>
      <w:bCs/>
      <w:sz w:val="24"/>
      <w:szCs w:val="24"/>
    </w:rPr>
  </w:style>
  <w:style w:type="character" w:styleId="746" w:customStyle="1">
    <w:name w:val="Heading 6 Char"/>
    <w:basedOn w:val="704"/>
    <w:uiPriority w:val="9"/>
    <w:qFormat/>
    <w:rPr>
      <w:rFonts w:ascii="Arial" w:hAnsi="Arial" w:eastAsia="Arial" w:cs="Arial"/>
      <w:b/>
      <w:bCs/>
      <w:sz w:val="22"/>
      <w:szCs w:val="22"/>
    </w:rPr>
  </w:style>
  <w:style w:type="character" w:styleId="747" w:customStyle="1">
    <w:name w:val="Heading 7 Char"/>
    <w:basedOn w:val="704"/>
    <w:uiPriority w:val="9"/>
    <w:qFormat/>
    <w:rPr>
      <w:rFonts w:ascii="Arial" w:hAnsi="Arial" w:eastAsia="Arial" w:cs="Arial"/>
      <w:b/>
      <w:bCs/>
      <w:i/>
      <w:iCs/>
      <w:sz w:val="22"/>
      <w:szCs w:val="22"/>
    </w:rPr>
  </w:style>
  <w:style w:type="character" w:styleId="748" w:customStyle="1">
    <w:name w:val="Heading 8 Char"/>
    <w:basedOn w:val="704"/>
    <w:uiPriority w:val="9"/>
    <w:qFormat/>
    <w:rPr>
      <w:rFonts w:ascii="Arial" w:hAnsi="Arial" w:eastAsia="Arial" w:cs="Arial"/>
      <w:i/>
      <w:iCs/>
      <w:sz w:val="22"/>
      <w:szCs w:val="22"/>
    </w:rPr>
  </w:style>
  <w:style w:type="character" w:styleId="749" w:customStyle="1">
    <w:name w:val="Heading 9 Char"/>
    <w:basedOn w:val="704"/>
    <w:uiPriority w:val="9"/>
    <w:qFormat/>
    <w:rPr>
      <w:rFonts w:ascii="Arial" w:hAnsi="Arial" w:eastAsia="Arial" w:cs="Arial"/>
      <w:i/>
      <w:iCs/>
      <w:sz w:val="21"/>
      <w:szCs w:val="21"/>
    </w:rPr>
  </w:style>
  <w:style w:type="character" w:styleId="750" w:customStyle="1">
    <w:name w:val="Title Char"/>
    <w:basedOn w:val="704"/>
    <w:uiPriority w:val="10"/>
    <w:qFormat/>
    <w:rPr>
      <w:sz w:val="48"/>
      <w:szCs w:val="48"/>
    </w:rPr>
  </w:style>
  <w:style w:type="character" w:styleId="751" w:customStyle="1">
    <w:name w:val="Subtitle Char"/>
    <w:basedOn w:val="704"/>
    <w:uiPriority w:val="11"/>
    <w:qFormat/>
    <w:rPr>
      <w:sz w:val="24"/>
      <w:szCs w:val="24"/>
    </w:rPr>
  </w:style>
  <w:style w:type="character" w:styleId="752" w:customStyle="1">
    <w:name w:val="Quote Char"/>
    <w:uiPriority w:val="29"/>
    <w:qFormat/>
    <w:rPr>
      <w:i/>
    </w:rPr>
  </w:style>
  <w:style w:type="character" w:styleId="753" w:customStyle="1">
    <w:name w:val="Intense Quote Char"/>
    <w:uiPriority w:val="30"/>
    <w:qFormat/>
    <w:rPr>
      <w:i/>
    </w:rPr>
  </w:style>
  <w:style w:type="character" w:styleId="754" w:customStyle="1">
    <w:name w:val="Header Char"/>
    <w:basedOn w:val="704"/>
    <w:uiPriority w:val="99"/>
    <w:qFormat/>
  </w:style>
  <w:style w:type="character" w:styleId="755" w:customStyle="1">
    <w:name w:val="Caption Char"/>
    <w:uiPriority w:val="99"/>
    <w:qFormat/>
  </w:style>
  <w:style w:type="character" w:styleId="756" w:customStyle="1">
    <w:name w:val="Footnote Text Char"/>
    <w:uiPriority w:val="99"/>
    <w:qFormat/>
    <w:rPr>
      <w:sz w:val="18"/>
    </w:rPr>
  </w:style>
  <w:style w:type="character" w:styleId="757" w:customStyle="1">
    <w:name w:val="Endnote Text Char"/>
    <w:uiPriority w:val="99"/>
    <w:qFormat/>
    <w:rPr>
      <w:sz w:val="20"/>
    </w:rPr>
  </w:style>
  <w:style w:type="paragraph" w:styleId="758" w:customStyle="1">
    <w:name w:val="TOC 标题1"/>
    <w:uiPriority w:val="39"/>
    <w:unhideWhenUsed/>
    <w:qFormat/>
    <w:rPr>
      <w:rFonts w:hint="default" w:ascii="Times New Roman" w:hAnsi="Times New Roman" w:eastAsia="宋体" w:cs="Times New Roman"/>
      <w:lang w:val="en-US" w:eastAsia="zh-CN" w:bidi="ar-SA"/>
    </w:rPr>
  </w:style>
  <w:style w:type="character" w:styleId="759" w:customStyle="1">
    <w:name w:val="标题 1 Char"/>
    <w:link w:val="695"/>
    <w:uiPriority w:val="9"/>
    <w:qFormat/>
    <w:rPr>
      <w:rFonts w:ascii="Arial" w:hAnsi="Arial" w:eastAsia="Arial" w:cs="Arial"/>
      <w:sz w:val="40"/>
      <w:szCs w:val="40"/>
    </w:rPr>
  </w:style>
  <w:style w:type="character" w:styleId="760" w:customStyle="1">
    <w:name w:val="标题 2 Char"/>
    <w:link w:val="696"/>
    <w:uiPriority w:val="9"/>
    <w:qFormat/>
    <w:rPr>
      <w:rFonts w:ascii="Arial" w:hAnsi="Arial" w:eastAsia="Arial" w:cs="Arial"/>
      <w:sz w:val="34"/>
    </w:rPr>
  </w:style>
  <w:style w:type="character" w:styleId="761" w:customStyle="1">
    <w:name w:val="标题 3 Char"/>
    <w:link w:val="697"/>
    <w:uiPriority w:val="9"/>
    <w:qFormat/>
    <w:rPr>
      <w:rFonts w:ascii="Arial" w:hAnsi="Arial" w:eastAsia="Arial" w:cs="Arial"/>
      <w:sz w:val="30"/>
      <w:szCs w:val="30"/>
    </w:rPr>
  </w:style>
  <w:style w:type="character" w:styleId="762" w:customStyle="1">
    <w:name w:val="标题 4 Char"/>
    <w:link w:val="698"/>
    <w:uiPriority w:val="9"/>
    <w:qFormat/>
    <w:rPr>
      <w:rFonts w:ascii="Arial" w:hAnsi="Arial" w:eastAsia="Arial" w:cs="Arial"/>
      <w:b/>
      <w:bCs/>
      <w:sz w:val="26"/>
      <w:szCs w:val="26"/>
    </w:rPr>
  </w:style>
  <w:style w:type="character" w:styleId="763" w:customStyle="1">
    <w:name w:val="标题 5 Char"/>
    <w:link w:val="699"/>
    <w:uiPriority w:val="9"/>
    <w:qFormat/>
    <w:rPr>
      <w:rFonts w:ascii="Arial" w:hAnsi="Arial" w:eastAsia="Arial" w:cs="Arial"/>
      <w:b/>
      <w:bCs/>
      <w:sz w:val="24"/>
      <w:szCs w:val="24"/>
    </w:rPr>
  </w:style>
  <w:style w:type="character" w:styleId="764" w:customStyle="1">
    <w:name w:val="标题 6 Char"/>
    <w:link w:val="700"/>
    <w:uiPriority w:val="9"/>
    <w:qFormat/>
    <w:rPr>
      <w:rFonts w:ascii="Arial" w:hAnsi="Arial" w:eastAsia="Arial" w:cs="Arial"/>
      <w:b/>
      <w:bCs/>
      <w:sz w:val="22"/>
      <w:szCs w:val="22"/>
    </w:rPr>
  </w:style>
  <w:style w:type="character" w:styleId="765" w:customStyle="1">
    <w:name w:val="标题 7 Char"/>
    <w:link w:val="701"/>
    <w:uiPriority w:val="9"/>
    <w:qFormat/>
    <w:rPr>
      <w:rFonts w:ascii="Arial" w:hAnsi="Arial" w:eastAsia="Arial" w:cs="Arial"/>
      <w:b/>
      <w:bCs/>
      <w:i/>
      <w:iCs/>
      <w:sz w:val="22"/>
      <w:szCs w:val="22"/>
    </w:rPr>
  </w:style>
  <w:style w:type="character" w:styleId="766" w:customStyle="1">
    <w:name w:val="标题 8 Char"/>
    <w:link w:val="702"/>
    <w:uiPriority w:val="9"/>
    <w:qFormat/>
    <w:rPr>
      <w:rFonts w:ascii="Arial" w:hAnsi="Arial" w:eastAsia="Arial" w:cs="Arial"/>
      <w:i/>
      <w:iCs/>
      <w:sz w:val="22"/>
      <w:szCs w:val="22"/>
    </w:rPr>
  </w:style>
  <w:style w:type="character" w:styleId="767" w:customStyle="1">
    <w:name w:val="标题 9 Char"/>
    <w:link w:val="703"/>
    <w:uiPriority w:val="9"/>
    <w:qFormat/>
    <w:rPr>
      <w:rFonts w:ascii="Arial" w:hAnsi="Arial" w:eastAsia="Arial" w:cs="Arial"/>
      <w:i/>
      <w:iCs/>
      <w:sz w:val="21"/>
      <w:szCs w:val="21"/>
    </w:rPr>
  </w:style>
  <w:style w:type="paragraph" w:styleId="768">
    <w:name w:val="List Paragraph"/>
    <w:basedOn w:val="694"/>
    <w:uiPriority w:val="34"/>
    <w:qFormat/>
    <w:pPr>
      <w:contextualSpacing/>
      <w:ind w:left="720"/>
    </w:pPr>
  </w:style>
  <w:style w:type="paragraph" w:styleId="769">
    <w:name w:val="No Spacing"/>
    <w:uiPriority w:val="1"/>
    <w:qFormat/>
    <w:rPr>
      <w:rFonts w:hint="default" w:ascii="Times New Roman" w:hAnsi="Times New Roman" w:eastAsia="宋体" w:cs="Times New Roman"/>
      <w:lang w:val="en-US" w:eastAsia="zh-CN" w:bidi="ar-SA"/>
    </w:rPr>
  </w:style>
  <w:style w:type="character" w:styleId="770" w:customStyle="1">
    <w:name w:val="标题 Char"/>
    <w:link w:val="730"/>
    <w:uiPriority w:val="10"/>
    <w:qFormat/>
    <w:rPr>
      <w:sz w:val="48"/>
      <w:szCs w:val="48"/>
    </w:rPr>
  </w:style>
  <w:style w:type="character" w:styleId="771" w:customStyle="1">
    <w:name w:val="副标题 Char"/>
    <w:link w:val="723"/>
    <w:uiPriority w:val="11"/>
    <w:qFormat/>
    <w:rPr>
      <w:sz w:val="24"/>
      <w:szCs w:val="24"/>
    </w:rPr>
  </w:style>
  <w:style w:type="paragraph" w:styleId="772">
    <w:name w:val="Quote"/>
    <w:basedOn w:val="694"/>
    <w:next w:val="694"/>
    <w:link w:val="773"/>
    <w:uiPriority w:val="29"/>
    <w:qFormat/>
    <w:pPr>
      <w:ind w:left="720" w:right="720"/>
    </w:pPr>
    <w:rPr>
      <w:i/>
    </w:rPr>
  </w:style>
  <w:style w:type="character" w:styleId="773" w:customStyle="1">
    <w:name w:val="引用 Char"/>
    <w:link w:val="772"/>
    <w:uiPriority w:val="29"/>
    <w:qFormat/>
    <w:rPr>
      <w:i/>
    </w:rPr>
  </w:style>
  <w:style w:type="paragraph" w:styleId="774">
    <w:name w:val="Intense Quote"/>
    <w:basedOn w:val="694"/>
    <w:next w:val="694"/>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明显引用 Char"/>
    <w:link w:val="774"/>
    <w:uiPriority w:val="30"/>
    <w:qFormat/>
    <w:rPr>
      <w:i/>
    </w:rPr>
  </w:style>
  <w:style w:type="character" w:styleId="776" w:customStyle="1">
    <w:name w:val="页眉 Char"/>
    <w:link w:val="720"/>
    <w:uiPriority w:val="99"/>
    <w:qFormat/>
  </w:style>
  <w:style w:type="character" w:styleId="777" w:customStyle="1">
    <w:name w:val="Footer Char"/>
    <w:uiPriority w:val="99"/>
    <w:qFormat/>
  </w:style>
  <w:style w:type="character" w:styleId="778" w:customStyle="1">
    <w:name w:val="页脚 Char"/>
    <w:link w:val="718"/>
    <w:uiPriority w:val="99"/>
    <w:qFormat/>
  </w:style>
  <w:style w:type="table" w:styleId="77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脚注文本 Char"/>
    <w:link w:val="724"/>
    <w:uiPriority w:val="99"/>
    <w:qFormat/>
    <w:rPr>
      <w:sz w:val="18"/>
    </w:rPr>
  </w:style>
  <w:style w:type="character" w:styleId="905" w:customStyle="1">
    <w:name w:val="尾注文本 Char"/>
    <w:link w:val="716"/>
    <w:uiPriority w:val="99"/>
    <w:qFormat/>
    <w:rPr>
      <w:sz w:val="20"/>
    </w:rPr>
  </w:style>
  <w:style w:type="paragraph" w:styleId="906" w:customStyle="1">
    <w:name w:val="TOC 标题11"/>
    <w:uiPriority w:val="39"/>
    <w:unhideWhenUsed/>
    <w:qFormat/>
    <w:rPr>
      <w:rFonts w:hint="default" w:ascii="Times New Roman" w:hAnsi="Times New Roman" w:eastAsia="宋体" w:cs="Times New Roman"/>
      <w:lang w:val="en-US" w:eastAsia="zh-CN" w:bidi="ar-SA"/>
    </w:rPr>
  </w:style>
  <w:style w:type="paragraph" w:styleId="907" w:customStyle="1">
    <w:name w:val="标题 11"/>
    <w:basedOn w:val="694"/>
    <w:next w:val="694"/>
    <w:uiPriority w:val="9"/>
    <w:qFormat/>
    <w:pPr>
      <w:keepLines/>
      <w:keepNext/>
      <w:spacing w:before="340" w:after="330" w:line="578" w:lineRule="auto"/>
      <w:outlineLvl w:val="0"/>
    </w:pPr>
    <w:rPr>
      <w:rFonts w:ascii="Calibri" w:hAnsi="Calibri"/>
      <w:b/>
      <w:bCs/>
      <w:sz w:val="44"/>
      <w:szCs w:val="44"/>
    </w:rPr>
  </w:style>
  <w:style w:type="paragraph" w:styleId="908" w:customStyle="1">
    <w:name w:val="标题 211"/>
    <w:basedOn w:val="694"/>
    <w:next w:val="909"/>
    <w:uiPriority w:val="9"/>
    <w:qFormat/>
    <w:pPr>
      <w:keepLines/>
      <w:keepNext/>
      <w:spacing w:before="260" w:after="260" w:line="416" w:lineRule="auto"/>
      <w:outlineLvl w:val="1"/>
    </w:pPr>
    <w:rPr>
      <w:rFonts w:ascii="Cambria" w:hAnsi="Cambria"/>
      <w:b/>
      <w:bCs/>
      <w:sz w:val="32"/>
      <w:szCs w:val="32"/>
    </w:rPr>
  </w:style>
  <w:style w:type="paragraph" w:styleId="909" w:customStyle="1">
    <w:name w:val="正文缩进1"/>
    <w:basedOn w:val="694"/>
    <w:uiPriority w:val="0"/>
    <w:unhideWhenUsed/>
    <w:qFormat/>
    <w:pPr>
      <w:ind w:firstLine="420"/>
    </w:pPr>
    <w:rPr>
      <w:rFonts w:ascii="Calibri" w:hAnsi="Calibri"/>
    </w:rPr>
  </w:style>
  <w:style w:type="paragraph" w:styleId="910" w:customStyle="1">
    <w:name w:val="标题 31"/>
    <w:basedOn w:val="694"/>
    <w:next w:val="694"/>
    <w:uiPriority w:val="0"/>
    <w:qFormat/>
    <w:pPr>
      <w:keepLines/>
      <w:keepNext/>
      <w:spacing w:before="260" w:after="260" w:line="416" w:lineRule="auto"/>
      <w:outlineLvl w:val="2"/>
    </w:pPr>
    <w:rPr>
      <w:rFonts w:ascii="Calibri" w:hAnsi="Calibri"/>
      <w:b/>
      <w:bCs/>
      <w:sz w:val="32"/>
      <w:szCs w:val="32"/>
    </w:rPr>
  </w:style>
  <w:style w:type="paragraph" w:styleId="911" w:customStyle="1">
    <w:name w:val="标题 51"/>
    <w:basedOn w:val="694"/>
    <w:next w:val="694"/>
    <w:uiPriority w:val="1"/>
    <w:qFormat/>
    <w:pPr>
      <w:ind w:left="62"/>
      <w:jc w:val="center"/>
      <w:outlineLvl w:val="4"/>
    </w:pPr>
    <w:rPr>
      <w:rFonts w:ascii="宋体" w:hAnsi="宋体" w:cs="宋体"/>
      <w:b/>
      <w:bCs/>
      <w:sz w:val="24"/>
      <w:szCs w:val="24"/>
      <w:lang w:val="zh-CN" w:bidi="zh-CN"/>
    </w:rPr>
  </w:style>
  <w:style w:type="character" w:styleId="912" w:customStyle="1">
    <w:name w:val="默认段落字体1"/>
    <w:uiPriority w:val="0"/>
    <w:semiHidden/>
    <w:qFormat/>
  </w:style>
  <w:style w:type="table" w:styleId="913" w:customStyle="1">
    <w:name w:val="普通表格1"/>
    <w:uiPriority w:val="0"/>
    <w:semiHidden/>
    <w:qFormat/>
    <w:tblPr>
      <w:tblCellMar>
        <w:left w:w="0" w:type="dxa"/>
        <w:top w:w="0" w:type="dxa"/>
        <w:right w:w="0" w:type="dxa"/>
        <w:bottom w:w="0" w:type="dxa"/>
      </w:tblCellMar>
    </w:tblPr>
  </w:style>
  <w:style w:type="paragraph" w:styleId="914" w:customStyle="1">
    <w:name w:val="标题 21"/>
    <w:basedOn w:val="694"/>
    <w:next w:val="694"/>
    <w:uiPriority w:val="2"/>
    <w:qFormat/>
    <w:pPr>
      <w:jc w:val="center"/>
      <w:keepLines/>
      <w:keepNext/>
      <w:spacing w:before="260" w:after="260" w:line="416" w:lineRule="auto"/>
      <w:outlineLvl w:val="1"/>
    </w:pPr>
    <w:rPr>
      <w:rFonts w:ascii="Arial" w:hAnsi="Arial" w:eastAsia="幼圆"/>
      <w:b/>
      <w:sz w:val="44"/>
      <w:szCs w:val="20"/>
    </w:rPr>
  </w:style>
  <w:style w:type="paragraph" w:styleId="915" w:customStyle="1">
    <w:name w:val="批注文字1"/>
    <w:basedOn w:val="694"/>
    <w:uiPriority w:val="99"/>
    <w:unhideWhenUsed/>
    <w:qFormat/>
    <w:pPr>
      <w:jc w:val="left"/>
    </w:pPr>
  </w:style>
  <w:style w:type="paragraph" w:styleId="916" w:customStyle="1">
    <w:name w:val="正文文本11"/>
    <w:basedOn w:val="694"/>
    <w:uiPriority w:val="0"/>
    <w:qFormat/>
    <w:rPr>
      <w:rFonts w:ascii="楷体_GB2312" w:hAnsi="Arial" w:eastAsia="楷体_GB2312"/>
      <w:sz w:val="28"/>
      <w:szCs w:val="28"/>
    </w:rPr>
  </w:style>
  <w:style w:type="paragraph" w:styleId="917" w:customStyle="1">
    <w:name w:val="正文文本 211"/>
    <w:basedOn w:val="694"/>
    <w:uiPriority w:val="0"/>
    <w:qFormat/>
    <w:pPr>
      <w:spacing w:after="120" w:line="480" w:lineRule="auto"/>
    </w:pPr>
  </w:style>
  <w:style w:type="paragraph" w:styleId="918" w:customStyle="1">
    <w:name w:val="正文文本缩进1"/>
    <w:basedOn w:val="694"/>
    <w:next w:val="694"/>
    <w:uiPriority w:val="99"/>
    <w:unhideWhenUsed/>
    <w:qFormat/>
    <w:pPr>
      <w:ind w:firstLine="540"/>
      <w:spacing w:line="400" w:lineRule="exact"/>
    </w:pPr>
    <w:rPr>
      <w:sz w:val="24"/>
    </w:rPr>
  </w:style>
  <w:style w:type="paragraph" w:styleId="919" w:customStyle="1">
    <w:name w:val="纯文本1"/>
    <w:basedOn w:val="920"/>
    <w:uiPriority w:val="99"/>
    <w:unhideWhenUsed/>
    <w:qFormat/>
    <w:rPr>
      <w:rFonts w:ascii="宋体" w:hAnsi="Courier New"/>
      <w:sz w:val="20"/>
      <w:szCs w:val="20"/>
    </w:rPr>
  </w:style>
  <w:style w:type="paragraph" w:styleId="920" w:customStyle="1">
    <w:name w:val="正文11"/>
    <w:next w:val="694"/>
    <w:uiPriority w:val="0"/>
    <w:qFormat/>
    <w:pPr>
      <w:jc w:val="both"/>
      <w:widowControl w:val="off"/>
    </w:pPr>
    <w:rPr>
      <w:rFonts w:hint="default" w:ascii="Calibri" w:hAnsi="Calibri" w:eastAsia="宋体" w:cs="Times New Roman"/>
      <w:sz w:val="21"/>
      <w:szCs w:val="22"/>
      <w:lang w:val="en-US" w:eastAsia="zh-CN" w:bidi="ar-SA"/>
    </w:rPr>
  </w:style>
  <w:style w:type="paragraph" w:styleId="921" w:customStyle="1">
    <w:name w:val="日期1"/>
    <w:basedOn w:val="694"/>
    <w:next w:val="694"/>
    <w:uiPriority w:val="0"/>
    <w:qFormat/>
    <w:rPr>
      <w:sz w:val="24"/>
      <w:szCs w:val="20"/>
    </w:rPr>
  </w:style>
  <w:style w:type="paragraph" w:styleId="922" w:customStyle="1">
    <w:name w:val="正文文本缩进 21"/>
    <w:basedOn w:val="694"/>
    <w:uiPriority w:val="99"/>
    <w:unhideWhenUsed/>
    <w:qFormat/>
    <w:pPr>
      <w:ind w:firstLine="510"/>
      <w:spacing w:line="520" w:lineRule="exact"/>
    </w:pPr>
    <w:rPr>
      <w:rFonts w:ascii="华文仿宋" w:eastAsia="华文仿宋"/>
      <w:sz w:val="28"/>
    </w:rPr>
  </w:style>
  <w:style w:type="paragraph" w:styleId="923" w:customStyle="1">
    <w:name w:val="页脚1"/>
    <w:basedOn w:val="694"/>
    <w:uiPriority w:val="99"/>
    <w:unhideWhenUsed/>
    <w:qFormat/>
    <w:pPr>
      <w:jc w:val="left"/>
      <w:tabs>
        <w:tab w:val="center" w:pos="4153" w:leader="none"/>
        <w:tab w:val="right" w:pos="8306" w:leader="none"/>
      </w:tabs>
    </w:pPr>
    <w:rPr>
      <w:sz w:val="18"/>
      <w:szCs w:val="18"/>
    </w:rPr>
  </w:style>
  <w:style w:type="paragraph" w:styleId="924" w:customStyle="1">
    <w:name w:val="页眉1"/>
    <w:basedOn w:val="69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25" w:customStyle="1">
    <w:name w:val="目录 11"/>
    <w:basedOn w:val="694"/>
    <w:next w:val="694"/>
    <w:uiPriority w:val="39"/>
    <w:unhideWhenUsed/>
    <w:qFormat/>
    <w:rPr>
      <w:rFonts w:ascii="Calibri" w:hAnsi="Calibri"/>
    </w:rPr>
  </w:style>
  <w:style w:type="paragraph" w:styleId="926" w:customStyle="1">
    <w:name w:val="目录 91"/>
    <w:basedOn w:val="694"/>
    <w:next w:val="694"/>
    <w:uiPriority w:val="39"/>
    <w:unhideWhenUsed/>
    <w:qFormat/>
    <w:pPr>
      <w:ind w:left="2268"/>
      <w:spacing w:after="57"/>
    </w:pPr>
  </w:style>
  <w:style w:type="paragraph" w:styleId="927" w:customStyle="1">
    <w:name w:val="普通(网站)1"/>
    <w:basedOn w:val="694"/>
    <w:uiPriority w:val="0"/>
    <w:unhideWhenUsed/>
    <w:qFormat/>
    <w:pPr>
      <w:jc w:val="left"/>
    </w:pPr>
    <w:rPr>
      <w:rFonts w:ascii="Calibri" w:hAnsi="Calibri"/>
      <w:sz w:val="24"/>
      <w:szCs w:val="24"/>
    </w:rPr>
  </w:style>
  <w:style w:type="paragraph" w:styleId="928" w:customStyle="1">
    <w:name w:val="标题1"/>
    <w:basedOn w:val="694"/>
    <w:next w:val="694"/>
    <w:uiPriority w:val="99"/>
    <w:qFormat/>
    <w:pPr>
      <w:jc w:val="center"/>
      <w:spacing w:before="240" w:after="60"/>
      <w:outlineLvl w:val="0"/>
    </w:pPr>
    <w:rPr>
      <w:rFonts w:ascii="等线 Light" w:hAnsi="等线 Light"/>
      <w:b/>
      <w:bCs/>
      <w:sz w:val="32"/>
      <w:szCs w:val="32"/>
    </w:rPr>
  </w:style>
  <w:style w:type="paragraph" w:styleId="929" w:customStyle="1">
    <w:name w:val="正文首行缩进 21"/>
    <w:basedOn w:val="918"/>
    <w:next w:val="694"/>
    <w:uiPriority w:val="0"/>
    <w:qFormat/>
    <w:pPr>
      <w:ind w:firstLine="420"/>
    </w:pPr>
  </w:style>
  <w:style w:type="character" w:styleId="930" w:customStyle="1">
    <w:name w:val="要点1"/>
    <w:uiPriority w:val="0"/>
    <w:qFormat/>
    <w:rPr>
      <w:b/>
    </w:rPr>
  </w:style>
  <w:style w:type="paragraph" w:styleId="931" w:customStyle="1">
    <w:name w:val="正文（缩进）"/>
    <w:basedOn w:val="694"/>
    <w:next w:val="932"/>
    <w:uiPriority w:val="0"/>
    <w:qFormat/>
    <w:pPr>
      <w:ind w:firstLine="480"/>
    </w:pPr>
  </w:style>
  <w:style w:type="paragraph" w:styleId="932" w:customStyle="1">
    <w:name w:val="Char Char Char Char Char Char Char Char Char"/>
    <w:basedOn w:val="694"/>
    <w:next w:val="933"/>
    <w:uiPriority w:val="0"/>
    <w:qFormat/>
    <w:pPr>
      <w:ind w:left="360" w:firstLine="5784"/>
    </w:pPr>
  </w:style>
  <w:style w:type="paragraph" w:styleId="933" w:customStyle="1">
    <w:name w:val="正文文本 21"/>
    <w:basedOn w:val="694"/>
    <w:next w:val="934"/>
    <w:uiPriority w:val="99"/>
    <w:unhideWhenUsed/>
    <w:qFormat/>
    <w:pPr>
      <w:spacing w:after="120" w:line="480" w:lineRule="auto"/>
    </w:pPr>
  </w:style>
  <w:style w:type="paragraph" w:styleId="934" w:customStyle="1">
    <w:name w:val="默认段落字体 Para Char Char Char Char Char Char Char"/>
    <w:basedOn w:val="694"/>
    <w:next w:val="935"/>
    <w:uiPriority w:val="0"/>
    <w:qFormat/>
    <w:pPr>
      <w:ind w:firstLine="5632"/>
    </w:pPr>
  </w:style>
  <w:style w:type="paragraph" w:styleId="935" w:customStyle="1">
    <w:name w:val="样式 首行缩进:  2 字符"/>
    <w:basedOn w:val="694"/>
    <w:next w:val="936"/>
    <w:uiPriority w:val="0"/>
    <w:qFormat/>
    <w:pPr>
      <w:ind w:left="480" w:firstLine="5856"/>
      <w:spacing w:line="360" w:lineRule="auto"/>
    </w:pPr>
  </w:style>
  <w:style w:type="paragraph" w:styleId="936" w:customStyle="1">
    <w:name w:val="样式 段后: 0.25 行"/>
    <w:basedOn w:val="694"/>
    <w:next w:val="937"/>
    <w:uiPriority w:val="0"/>
    <w:qFormat/>
    <w:pPr>
      <w:ind w:left="420" w:firstLine="5796"/>
      <w:spacing w:line="300" w:lineRule="auto"/>
      <w:widowControl/>
    </w:pPr>
  </w:style>
  <w:style w:type="paragraph" w:styleId="937" w:customStyle="1">
    <w:name w:val="正文 New New New New New New New New New New New New New New"/>
    <w:next w:val="926"/>
    <w:uiPriority w:val="0"/>
    <w:qFormat/>
    <w:pPr>
      <w:ind w:firstLine="2048"/>
      <w:jc w:val="both"/>
      <w:widowControl w:val="off"/>
    </w:pPr>
    <w:rPr>
      <w:rFonts w:hint="default" w:ascii="Calibri" w:hAnsi="Calibri" w:eastAsia="宋体" w:cs="Times New Roman"/>
      <w:lang w:val="en-US" w:eastAsia="zh-CN" w:bidi="ar-SA"/>
    </w:rPr>
  </w:style>
  <w:style w:type="paragraph" w:styleId="938" w:customStyle="1">
    <w:name w:val="正文1"/>
    <w:basedOn w:val="694"/>
    <w:next w:val="939"/>
    <w:uiPriority w:val="0"/>
    <w:qFormat/>
    <w:pPr>
      <w:jc w:val="left"/>
      <w:spacing w:line="360" w:lineRule="atLeast"/>
    </w:pPr>
    <w:rPr>
      <w:rFonts w:ascii="宋体" w:hAnsi="Calibri"/>
      <w:sz w:val="24"/>
      <w:szCs w:val="20"/>
    </w:rPr>
  </w:style>
  <w:style w:type="paragraph" w:styleId="939" w:customStyle="1">
    <w:name w:val="正文文本1"/>
    <w:basedOn w:val="938"/>
    <w:next w:val="940"/>
    <w:uiPriority w:val="0"/>
    <w:qFormat/>
    <w:pPr>
      <w:spacing w:after="120"/>
    </w:pPr>
    <w:rPr>
      <w:lang w:eastAsia="en-US"/>
    </w:rPr>
  </w:style>
  <w:style w:type="paragraph" w:styleId="940" w:customStyle="1">
    <w:name w:val="一级条标题"/>
    <w:basedOn w:val="941"/>
    <w:next w:val="9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1" w:customStyle="1">
    <w:name w:val="章标题"/>
    <w:next w:val="69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2" w:customStyle="1">
    <w:name w:val="段"/>
    <w:basedOn w:val="938"/>
    <w:next w:val="694"/>
    <w:uiPriority w:val="0"/>
    <w:qFormat/>
    <w:pPr>
      <w:ind w:firstLine="200"/>
      <w:widowControl/>
    </w:pPr>
    <w:rPr>
      <w:sz w:val="20"/>
    </w:rPr>
  </w:style>
  <w:style w:type="character" w:styleId="943" w:customStyle="1">
    <w:name w:val="htd0"/>
    <w:basedOn w:val="912"/>
    <w:uiPriority w:val="0"/>
    <w:qFormat/>
  </w:style>
  <w:style w:type="paragraph" w:styleId="944"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5" w:customStyle="1">
    <w:name w:val="普通正文"/>
    <w:basedOn w:val="694"/>
    <w:uiPriority w:val="0"/>
    <w:qFormat/>
    <w:pPr>
      <w:ind w:firstLine="480"/>
      <w:jc w:val="left"/>
      <w:spacing w:before="120" w:after="120" w:line="360" w:lineRule="auto"/>
    </w:pPr>
    <w:rPr>
      <w:rFonts w:ascii="Arial" w:hAnsi="Arial"/>
      <w:sz w:val="24"/>
      <w:szCs w:val="24"/>
    </w:rPr>
  </w:style>
  <w:style w:type="paragraph" w:styleId="946" w:customStyle="1">
    <w:name w:val="Char"/>
    <w:basedOn w:val="694"/>
    <w:uiPriority w:val="0"/>
    <w:qFormat/>
    <w:pPr>
      <w:ind w:firstLine="200"/>
      <w:tabs>
        <w:tab w:val="left" w:pos="360" w:leader="none"/>
      </w:tabs>
    </w:pPr>
    <w:rPr>
      <w:sz w:val="28"/>
      <w:szCs w:val="30"/>
    </w:rPr>
  </w:style>
  <w:style w:type="paragraph" w:styleId="947" w:customStyle="1">
    <w:name w:val="Table Paragraph"/>
    <w:basedOn w:val="694"/>
    <w:uiPriority w:val="99"/>
    <w:qFormat/>
    <w:pPr>
      <w:jc w:val="left"/>
    </w:pPr>
    <w:rPr>
      <w:rFonts w:cs="Calibri"/>
      <w:sz w:val="22"/>
      <w:lang w:eastAsia="en-US"/>
    </w:rPr>
  </w:style>
  <w:style w:type="character" w:styleId="948" w:customStyle="1">
    <w:name w:val="批注框文本 Char"/>
    <w:basedOn w:val="704"/>
    <w:link w:val="717"/>
    <w:uiPriority w:val="99"/>
    <w:semiHidden/>
    <w:qFormat/>
    <w:rPr>
      <w:sz w:val="18"/>
      <w:szCs w:val="18"/>
    </w:rPr>
  </w:style>
  <w:style w:type="character" w:styleId="949" w:customStyle="1">
    <w:name w:val="button"/>
    <w:basedOn w:val="704"/>
    <w:uiPriority w:val="0"/>
    <w:qFormat/>
  </w:style>
  <w:style w:type="character" w:styleId="950" w:customStyle="1">
    <w:name w:val="tmpztreemove_arrow"/>
    <w:basedOn w:val="704"/>
    <w:uiPriority w:val="0"/>
    <w:qFormat/>
  </w:style>
  <w:style w:type="paragraph" w:styleId="951" w:customStyle="1">
    <w:name w:val="Default"/>
    <w:next w:val="694"/>
    <w:uiPriority w:val="0"/>
    <w:qFormat/>
    <w:pPr>
      <w:widowControl w:val="off"/>
    </w:pPr>
    <w:rPr>
      <w:rFonts w:hint="default" w:ascii="宋体" w:hAnsi="Times New Roman" w:eastAsia="宋体" w:cs="宋体"/>
      <w:color w:val="000000"/>
      <w:sz w:val="24"/>
      <w:szCs w:val="24"/>
      <w:lang w:val="en-US" w:eastAsia="zh-CN" w:bidi="ar-SA"/>
    </w:rPr>
  </w:style>
  <w:style w:type="paragraph" w:styleId="952" w:customStyle="1">
    <w:name w:val="列出段落11"/>
    <w:uiPriority w:val="0"/>
    <w:qFormat/>
    <w:pPr>
      <w:ind w:firstLine="420"/>
    </w:pPr>
    <w:rPr>
      <w:rFonts w:hint="default" w:ascii="Times New Roman" w:hAnsi="Times New Roman" w:eastAsia="宋体" w:cs="Times New Roman"/>
      <w:sz w:val="20"/>
      <w:szCs w:val="20"/>
      <w:lang w:val="en-US" w:eastAsia="zh-CN" w:bidi="ar-SA"/>
      <w14:ligatures w14:val="none"/>
    </w:rPr>
  </w:style>
  <w:style w:type="paragraph" w:styleId="953" w:customStyle="1">
    <w:name w:val="纯文本11"/>
    <w:basedOn w:val="694"/>
    <w:uiPriority w:val="0"/>
    <w:qFormat/>
    <w:rPr>
      <w:rFonts w:ascii="宋体" w:hAnsi="Courier New"/>
      <w:sz w:val="20"/>
      <w:szCs w:val="21"/>
    </w:rPr>
  </w:style>
  <w:style w:type="paragraph" w:styleId="954" w:customStyle="1">
    <w:name w:val="Body text|1"/>
    <w:basedOn w:val="694"/>
    <w:uiPriority w:val="0"/>
    <w:qFormat/>
    <w:pPr>
      <w:ind w:firstLine="400"/>
      <w:spacing w:line="35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955" w:customStyle="1">
    <w:name w:val="footer1"/>
    <w:basedOn w:val="694"/>
    <w:uiPriority w:val="0"/>
    <w:qFormat/>
    <w:pPr>
      <w:tabs>
        <w:tab w:val="center" w:pos="4153" w:leader="none"/>
        <w:tab w:val="right" w:pos="8306" w:leader="none"/>
      </w:tabs>
    </w:pPr>
    <w:rPr>
      <w:sz w:val="18"/>
    </w:rPr>
  </w:style>
  <w:style w:type="numbering" w:styleId="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耿</dc:creator>
  <cp:lastModifiedBy>秦扬</cp:lastModifiedBy>
  <cp:revision>23</cp:revision>
  <dcterms:created xsi:type="dcterms:W3CDTF">2024-10-29T07:46:00Z</dcterms:created>
  <dcterms:modified xsi:type="dcterms:W3CDTF">2025-12-04T06:17:39Z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5B37928B3B314377AF2EBE4D20DEE41D_13</vt:lpwstr>
  </property>
  <property fmtid="{D5CDD505-2E9C-101B-9397-08002B2CF9AE}" pid="4" name="KSOTemplateDocerSaveRecord">
    <vt:lpwstr>eyJoZGlkIjoiMDg4NDljZjM2M2U3NGJkNjEwNDA1YzM2OTlmODJhYjgiLCJ1c2VySWQiOiIxNDU0NzM1NTI4In0=</vt:lpwstr>
  </property>
</Properties>
</file>